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240" w:lineRule="auto"/>
        <w:ind w:firstLine="0" w:firstLineChars="0"/>
        <w:jc w:val="center"/>
        <w:rPr>
          <w:rFonts w:ascii="仿宋" w:hAnsi="仿宋" w:eastAsia="仿宋" w:cs="仿宋"/>
          <w:b/>
          <w:sz w:val="72"/>
          <w:szCs w:val="72"/>
        </w:rPr>
      </w:pPr>
    </w:p>
    <w:p>
      <w:pPr>
        <w:adjustRightInd w:val="0"/>
        <w:spacing w:line="240" w:lineRule="auto"/>
        <w:ind w:firstLine="0" w:firstLineChars="0"/>
        <w:jc w:val="center"/>
        <w:rPr>
          <w:rFonts w:ascii="仿宋" w:hAnsi="仿宋" w:eastAsia="仿宋" w:cs="仿宋"/>
          <w:b/>
          <w:sz w:val="72"/>
          <w:szCs w:val="72"/>
        </w:rPr>
      </w:pPr>
    </w:p>
    <w:p>
      <w:pPr>
        <w:adjustRightInd w:val="0"/>
        <w:spacing w:line="240" w:lineRule="auto"/>
        <w:ind w:firstLine="0" w:firstLineChars="0"/>
        <w:jc w:val="center"/>
        <w:rPr>
          <w:rFonts w:ascii="仿宋" w:hAnsi="仿宋" w:eastAsia="仿宋" w:cs="仿宋"/>
          <w:b/>
          <w:sz w:val="72"/>
          <w:szCs w:val="72"/>
        </w:rPr>
      </w:pPr>
    </w:p>
    <w:p>
      <w:pPr>
        <w:adjustRightInd w:val="0"/>
        <w:spacing w:line="240" w:lineRule="auto"/>
        <w:ind w:firstLine="0" w:firstLineChars="0"/>
        <w:jc w:val="center"/>
        <w:rPr>
          <w:rFonts w:ascii="仿宋" w:hAnsi="仿宋" w:eastAsia="仿宋" w:cs="仿宋"/>
          <w:bCs/>
          <w:sz w:val="72"/>
          <w:szCs w:val="72"/>
        </w:rPr>
      </w:pPr>
      <w:r>
        <w:rPr>
          <w:rFonts w:hint="eastAsia" w:ascii="仿宋" w:hAnsi="仿宋" w:eastAsia="仿宋" w:cs="仿宋"/>
          <w:b/>
          <w:sz w:val="72"/>
          <w:szCs w:val="72"/>
        </w:rPr>
        <w:t>建设项目环境影响报告表</w:t>
      </w:r>
    </w:p>
    <w:p>
      <w:pPr>
        <w:adjustRightInd w:val="0"/>
        <w:spacing w:before="249" w:beforeLines="80"/>
        <w:ind w:firstLine="0" w:firstLineChars="0"/>
        <w:jc w:val="center"/>
        <w:rPr>
          <w:rFonts w:ascii="楷体_GB2312" w:eastAsia="楷体_GB2312"/>
          <w:bCs/>
          <w:sz w:val="48"/>
          <w:szCs w:val="48"/>
        </w:rPr>
      </w:pPr>
      <w:r>
        <w:rPr>
          <w:rFonts w:hint="eastAsia" w:ascii="楷体_GB2312" w:eastAsia="楷体_GB2312"/>
          <w:bCs/>
          <w:sz w:val="48"/>
          <w:szCs w:val="48"/>
        </w:rPr>
        <w:t>（污染影响类）</w:t>
      </w:r>
    </w:p>
    <w:p>
      <w:pPr>
        <w:ind w:firstLine="0" w:firstLineChars="0"/>
        <w:jc w:val="center"/>
      </w:pPr>
    </w:p>
    <w:p>
      <w:pPr>
        <w:ind w:firstLine="0" w:firstLineChars="0"/>
        <w:jc w:val="center"/>
      </w:pPr>
    </w:p>
    <w:p>
      <w:pPr>
        <w:ind w:firstLine="0" w:firstLineChars="0"/>
        <w:jc w:val="center"/>
      </w:pPr>
    </w:p>
    <w:p>
      <w:pPr>
        <w:ind w:firstLine="0" w:firstLineChars="0"/>
        <w:jc w:val="center"/>
      </w:pPr>
    </w:p>
    <w:p>
      <w:pPr>
        <w:ind w:firstLine="0" w:firstLineChars="0"/>
        <w:jc w:val="center"/>
      </w:pPr>
    </w:p>
    <w:p>
      <w:pPr>
        <w:ind w:firstLine="0" w:firstLineChars="0"/>
        <w:jc w:val="center"/>
      </w:pPr>
    </w:p>
    <w:p>
      <w:pPr>
        <w:spacing w:line="360" w:lineRule="auto"/>
        <w:ind w:firstLine="360" w:firstLineChars="100"/>
        <w:jc w:val="left"/>
        <w:rPr>
          <w:rFonts w:hint="eastAsia" w:eastAsia="仿宋" w:cs="Times New Roman"/>
          <w:sz w:val="36"/>
          <w:szCs w:val="36"/>
          <w:u w:val="single"/>
          <w:lang w:eastAsia="zh-CN"/>
        </w:rPr>
      </w:pPr>
      <w:r>
        <w:rPr>
          <w:rFonts w:hint="eastAsia" w:ascii="仿宋" w:hAnsi="仿宋" w:eastAsia="仿宋" w:cs="仿宋"/>
          <w:sz w:val="36"/>
          <w:szCs w:val="36"/>
        </w:rPr>
        <w:t>项目名称：</w:t>
      </w:r>
      <w:r>
        <w:rPr>
          <w:rFonts w:hint="eastAsia" w:eastAsia="仿宋" w:cs="Times New Roman"/>
          <w:sz w:val="36"/>
          <w:szCs w:val="36"/>
          <w:u w:val="single"/>
          <w:lang w:eastAsia="zh-CN"/>
        </w:rPr>
        <w:t>新建年产5GWh储能系统项目</w:t>
      </w:r>
    </w:p>
    <w:p>
      <w:pPr>
        <w:spacing w:line="360" w:lineRule="auto"/>
        <w:ind w:firstLine="360" w:firstLineChars="100"/>
        <w:jc w:val="left"/>
        <w:rPr>
          <w:rFonts w:ascii="仿宋" w:hAnsi="仿宋" w:eastAsia="仿宋" w:cs="仿宋"/>
          <w:sz w:val="36"/>
          <w:szCs w:val="36"/>
          <w:u w:val="single"/>
        </w:rPr>
      </w:pPr>
      <w:r>
        <w:rPr>
          <w:rFonts w:hint="eastAsia" w:ascii="仿宋" w:hAnsi="仿宋" w:eastAsia="仿宋" w:cs="仿宋"/>
          <w:sz w:val="36"/>
          <w:szCs w:val="36"/>
        </w:rPr>
        <w:t>建设单位：</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eastAsia="zh-CN"/>
        </w:rPr>
        <w:t>浙江晶科储能有限公司</w:t>
      </w:r>
      <w:r>
        <w:rPr>
          <w:rFonts w:hint="eastAsia" w:ascii="仿宋" w:hAnsi="仿宋" w:eastAsia="仿宋" w:cs="仿宋"/>
          <w:sz w:val="36"/>
          <w:szCs w:val="36"/>
          <w:u w:val="single"/>
        </w:rPr>
        <w:t xml:space="preserve">   </w:t>
      </w:r>
    </w:p>
    <w:p>
      <w:pPr>
        <w:spacing w:line="360" w:lineRule="auto"/>
        <w:ind w:firstLine="360" w:firstLineChars="100"/>
        <w:jc w:val="left"/>
        <w:rPr>
          <w:rFonts w:eastAsia="仿宋" w:cs="Times New Roman"/>
          <w:sz w:val="36"/>
          <w:szCs w:val="36"/>
          <w:u w:val="single"/>
        </w:rPr>
      </w:pPr>
      <w:r>
        <w:rPr>
          <w:rFonts w:hint="eastAsia" w:ascii="仿宋" w:hAnsi="仿宋" w:eastAsia="仿宋" w:cs="仿宋"/>
          <w:sz w:val="36"/>
          <w:szCs w:val="36"/>
        </w:rPr>
        <w:t>编制日期：</w:t>
      </w:r>
      <w:r>
        <w:rPr>
          <w:rFonts w:eastAsia="仿宋" w:cs="Times New Roman"/>
          <w:sz w:val="36"/>
          <w:szCs w:val="36"/>
          <w:u w:val="single"/>
        </w:rPr>
        <w:t xml:space="preserve"> </w:t>
      </w:r>
      <w:r>
        <w:rPr>
          <w:rFonts w:hint="eastAsia" w:eastAsia="仿宋" w:cs="Times New Roman"/>
          <w:sz w:val="36"/>
          <w:szCs w:val="36"/>
          <w:u w:val="single"/>
        </w:rPr>
        <w:t xml:space="preserve">       </w:t>
      </w:r>
      <w:r>
        <w:rPr>
          <w:rFonts w:eastAsia="仿宋" w:cs="Times New Roman"/>
          <w:sz w:val="36"/>
          <w:szCs w:val="36"/>
          <w:u w:val="single"/>
        </w:rPr>
        <w:t>202</w:t>
      </w:r>
      <w:r>
        <w:rPr>
          <w:rFonts w:hint="eastAsia" w:eastAsia="仿宋" w:cs="Times New Roman"/>
          <w:sz w:val="36"/>
          <w:szCs w:val="36"/>
          <w:u w:val="single"/>
          <w:lang w:val="en-US" w:eastAsia="zh-CN"/>
        </w:rPr>
        <w:t>5</w:t>
      </w:r>
      <w:r>
        <w:rPr>
          <w:rFonts w:eastAsia="仿宋" w:cs="Times New Roman"/>
          <w:sz w:val="36"/>
          <w:szCs w:val="36"/>
          <w:u w:val="single"/>
        </w:rPr>
        <w:t>年</w:t>
      </w:r>
      <w:r>
        <w:rPr>
          <w:rFonts w:hint="eastAsia" w:eastAsia="仿宋" w:cs="Times New Roman"/>
          <w:sz w:val="36"/>
          <w:szCs w:val="36"/>
          <w:u w:val="single"/>
          <w:lang w:val="en-US" w:eastAsia="zh-CN"/>
        </w:rPr>
        <w:t>9</w:t>
      </w:r>
      <w:r>
        <w:rPr>
          <w:rFonts w:eastAsia="仿宋" w:cs="Times New Roman"/>
          <w:sz w:val="36"/>
          <w:szCs w:val="36"/>
          <w:u w:val="single"/>
        </w:rPr>
        <w:t>月</w:t>
      </w:r>
      <w:r>
        <w:rPr>
          <w:rFonts w:hint="eastAsia" w:eastAsia="仿宋" w:cs="Times New Roman"/>
          <w:sz w:val="36"/>
          <w:szCs w:val="36"/>
          <w:u w:val="single"/>
        </w:rPr>
        <w:t xml:space="preserve">        </w:t>
      </w: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jc w:val="center"/>
        <w:rPr>
          <w:rFonts w:ascii="楷体_GB2312" w:eastAsia="楷体_GB2312"/>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楷体_GB2312" w:eastAsia="楷体_GB2312"/>
          <w:sz w:val="36"/>
          <w:szCs w:val="36"/>
        </w:rPr>
        <w:t>中华人民共和国生态环境部制</w:t>
      </w:r>
    </w:p>
    <w:p>
      <w:pPr>
        <w:rPr>
          <w:rFonts w:ascii="楷体_GB2312" w:eastAsia="楷体_GB2312"/>
          <w:sz w:val="36"/>
          <w:szCs w:val="36"/>
        </w:rPr>
      </w:pPr>
      <w:r>
        <w:rPr>
          <w:rFonts w:hint="eastAsia" w:ascii="楷体_GB2312" w:eastAsia="楷体_GB2312"/>
          <w:sz w:val="36"/>
          <w:szCs w:val="36"/>
        </w:rPr>
        <w:br w:type="page"/>
      </w:r>
    </w:p>
    <w:p>
      <w:pPr>
        <w:ind w:firstLine="0" w:firstLineChars="0"/>
        <w:jc w:val="center"/>
        <w:rPr>
          <w:rFonts w:ascii="宋体" w:hAnsi="宋体" w:cs="宋体"/>
          <w:sz w:val="36"/>
          <w:szCs w:val="36"/>
        </w:rPr>
      </w:pPr>
      <w:r>
        <w:rPr>
          <w:rFonts w:hint="eastAsia" w:ascii="宋体" w:hAnsi="宋体" w:cs="宋体"/>
          <w:sz w:val="36"/>
          <w:szCs w:val="36"/>
        </w:rPr>
        <w:t>目  录</w:t>
      </w:r>
    </w:p>
    <w:sdt>
      <w:sdtPr>
        <w:rPr>
          <w:rFonts w:ascii="宋体" w:hAnsi="宋体"/>
        </w:rPr>
        <w:id w:val="147467545"/>
        <w:docPartObj>
          <w:docPartGallery w:val="Table of Contents"/>
          <w:docPartUnique/>
        </w:docPartObj>
      </w:sdtPr>
      <w:sdtEndPr>
        <w:rPr>
          <w:rFonts w:ascii="宋体" w:hAnsi="宋体"/>
        </w:rPr>
      </w:sdtEndPr>
      <w:sdtContent>
        <w:p>
          <w:pPr>
            <w:spacing w:line="240" w:lineRule="auto"/>
            <w:ind w:firstLine="0" w:firstLineChars="0"/>
            <w:jc w:val="center"/>
          </w:pPr>
        </w:p>
        <w:p>
          <w:pPr>
            <w:pStyle w:val="3"/>
            <w:tabs>
              <w:tab w:val="right" w:leader="dot" w:pos="8306"/>
              <w:tab w:val="clear" w:pos="7920"/>
            </w:tabs>
            <w:ind w:right="1260" w:firstLine="0" w:firstLineChars="0"/>
          </w:pPr>
          <w:r>
            <w:fldChar w:fldCharType="begin"/>
          </w:r>
          <w:r>
            <w:instrText xml:space="preserve">TOC \o "1-1" \h \u </w:instrText>
          </w:r>
          <w:r>
            <w:fldChar w:fldCharType="separate"/>
          </w:r>
          <w:r>
            <w:fldChar w:fldCharType="begin"/>
          </w:r>
          <w:r>
            <w:instrText xml:space="preserve"> HYPERLINK \l "_Toc32705" </w:instrText>
          </w:r>
          <w:r>
            <w:fldChar w:fldCharType="separate"/>
          </w:r>
          <w:r>
            <w:rPr>
              <w:rFonts w:hint="eastAsia"/>
            </w:rPr>
            <w:t>一、建设项目基本情况</w:t>
          </w:r>
          <w:r>
            <w:tab/>
          </w:r>
          <w:r>
            <w:fldChar w:fldCharType="begin"/>
          </w:r>
          <w:r>
            <w:instrText xml:space="preserve"> PAGEREF _Toc32705 \h </w:instrText>
          </w:r>
          <w:r>
            <w:fldChar w:fldCharType="separate"/>
          </w:r>
          <w:r>
            <w:t>1</w:t>
          </w:r>
          <w:r>
            <w:fldChar w:fldCharType="end"/>
          </w:r>
          <w:r>
            <w:fldChar w:fldCharType="end"/>
          </w:r>
        </w:p>
        <w:p>
          <w:pPr>
            <w:pStyle w:val="3"/>
            <w:tabs>
              <w:tab w:val="right" w:leader="dot" w:pos="8306"/>
              <w:tab w:val="clear" w:pos="7920"/>
            </w:tabs>
            <w:ind w:right="1260" w:firstLine="0" w:firstLineChars="0"/>
          </w:pPr>
          <w:r>
            <w:fldChar w:fldCharType="begin"/>
          </w:r>
          <w:r>
            <w:instrText xml:space="preserve"> HYPERLINK \l "_Toc17513" </w:instrText>
          </w:r>
          <w:r>
            <w:fldChar w:fldCharType="separate"/>
          </w:r>
          <w:r>
            <w:rPr>
              <w:rFonts w:hint="eastAsia"/>
            </w:rPr>
            <w:t>二、建设项目工程分析</w:t>
          </w:r>
          <w:r>
            <w:tab/>
          </w:r>
          <w:r>
            <w:fldChar w:fldCharType="begin"/>
          </w:r>
          <w:r>
            <w:instrText xml:space="preserve"> PAGEREF _Toc17513 \h </w:instrText>
          </w:r>
          <w:r>
            <w:fldChar w:fldCharType="separate"/>
          </w:r>
          <w:r>
            <w:t>24</w:t>
          </w:r>
          <w:r>
            <w:fldChar w:fldCharType="end"/>
          </w:r>
          <w:r>
            <w:fldChar w:fldCharType="end"/>
          </w:r>
        </w:p>
        <w:p>
          <w:pPr>
            <w:pStyle w:val="3"/>
            <w:tabs>
              <w:tab w:val="right" w:leader="dot" w:pos="8306"/>
              <w:tab w:val="clear" w:pos="7920"/>
            </w:tabs>
            <w:ind w:right="1260" w:firstLine="0" w:firstLineChars="0"/>
          </w:pPr>
          <w:r>
            <w:fldChar w:fldCharType="begin"/>
          </w:r>
          <w:r>
            <w:instrText xml:space="preserve"> HYPERLINK \l "_Toc14600" </w:instrText>
          </w:r>
          <w:r>
            <w:fldChar w:fldCharType="separate"/>
          </w:r>
          <w:r>
            <w:rPr>
              <w:rFonts w:hint="eastAsia"/>
            </w:rPr>
            <w:t>三、区域环境质量现状、环境保护目标及评价标准</w:t>
          </w:r>
          <w:r>
            <w:tab/>
          </w:r>
          <w:r>
            <w:fldChar w:fldCharType="begin"/>
          </w:r>
          <w:r>
            <w:instrText xml:space="preserve"> PAGEREF _Toc14600 \h </w:instrText>
          </w:r>
          <w:r>
            <w:fldChar w:fldCharType="separate"/>
          </w:r>
          <w:r>
            <w:t>76</w:t>
          </w:r>
          <w:r>
            <w:fldChar w:fldCharType="end"/>
          </w:r>
          <w:r>
            <w:fldChar w:fldCharType="end"/>
          </w:r>
        </w:p>
        <w:p>
          <w:pPr>
            <w:pStyle w:val="3"/>
            <w:tabs>
              <w:tab w:val="right" w:leader="dot" w:pos="8306"/>
              <w:tab w:val="clear" w:pos="7920"/>
            </w:tabs>
            <w:ind w:right="1260" w:firstLine="0" w:firstLineChars="0"/>
          </w:pPr>
          <w:r>
            <w:fldChar w:fldCharType="begin"/>
          </w:r>
          <w:r>
            <w:instrText xml:space="preserve"> HYPERLINK \l "_Toc13463" </w:instrText>
          </w:r>
          <w:r>
            <w:fldChar w:fldCharType="separate"/>
          </w:r>
          <w:r>
            <w:rPr>
              <w:rFonts w:hint="eastAsia"/>
            </w:rPr>
            <w:t>四、主要环境影响和保护措施</w:t>
          </w:r>
          <w:r>
            <w:tab/>
          </w:r>
          <w:r>
            <w:fldChar w:fldCharType="begin"/>
          </w:r>
          <w:r>
            <w:instrText xml:space="preserve"> PAGEREF _Toc13463 \h </w:instrText>
          </w:r>
          <w:r>
            <w:fldChar w:fldCharType="separate"/>
          </w:r>
          <w:r>
            <w:t>82</w:t>
          </w:r>
          <w:r>
            <w:fldChar w:fldCharType="end"/>
          </w:r>
          <w:r>
            <w:fldChar w:fldCharType="end"/>
          </w:r>
        </w:p>
        <w:p>
          <w:pPr>
            <w:pStyle w:val="3"/>
            <w:tabs>
              <w:tab w:val="right" w:leader="dot" w:pos="8306"/>
              <w:tab w:val="clear" w:pos="7920"/>
            </w:tabs>
            <w:ind w:right="1260" w:firstLine="0" w:firstLineChars="0"/>
            <w:jc w:val="left"/>
          </w:pPr>
          <w:r>
            <w:fldChar w:fldCharType="begin"/>
          </w:r>
          <w:r>
            <w:instrText xml:space="preserve"> HYPERLINK \l "_Toc4630" </w:instrText>
          </w:r>
          <w:r>
            <w:fldChar w:fldCharType="separate"/>
          </w:r>
          <w:r>
            <w:rPr>
              <w:rFonts w:hint="eastAsia"/>
            </w:rPr>
            <w:t>五、环境保护措施监督检查清单</w:t>
          </w:r>
          <w:r>
            <w:tab/>
          </w:r>
          <w:r>
            <w:fldChar w:fldCharType="begin"/>
          </w:r>
          <w:r>
            <w:instrText xml:space="preserve"> PAGEREF _Toc4630 \h </w:instrText>
          </w:r>
          <w:r>
            <w:fldChar w:fldCharType="separate"/>
          </w:r>
          <w:r>
            <w:t>109</w:t>
          </w:r>
          <w:r>
            <w:fldChar w:fldCharType="end"/>
          </w:r>
          <w:r>
            <w:fldChar w:fldCharType="end"/>
          </w:r>
        </w:p>
        <w:p>
          <w:pPr>
            <w:pStyle w:val="3"/>
            <w:tabs>
              <w:tab w:val="right" w:leader="dot" w:pos="8306"/>
              <w:tab w:val="clear" w:pos="7920"/>
            </w:tabs>
            <w:ind w:right="1260" w:firstLine="0" w:firstLineChars="0"/>
          </w:pPr>
          <w:r>
            <w:fldChar w:fldCharType="begin"/>
          </w:r>
          <w:r>
            <w:instrText xml:space="preserve"> HYPERLINK \l "_Toc13254" </w:instrText>
          </w:r>
          <w:r>
            <w:fldChar w:fldCharType="separate"/>
          </w:r>
          <w:r>
            <w:rPr>
              <w:rFonts w:hint="eastAsia"/>
            </w:rPr>
            <w:t>六、结论</w:t>
          </w:r>
          <w:r>
            <w:tab/>
          </w:r>
          <w:r>
            <w:fldChar w:fldCharType="begin"/>
          </w:r>
          <w:r>
            <w:instrText xml:space="preserve"> PAGEREF _Toc13254 \h </w:instrText>
          </w:r>
          <w:r>
            <w:fldChar w:fldCharType="separate"/>
          </w:r>
          <w:r>
            <w:t>112</w:t>
          </w:r>
          <w:r>
            <w:fldChar w:fldCharType="end"/>
          </w:r>
          <w:r>
            <w:fldChar w:fldCharType="end"/>
          </w:r>
        </w:p>
        <w:p>
          <w:pPr>
            <w:pStyle w:val="3"/>
            <w:tabs>
              <w:tab w:val="right" w:leader="dot" w:pos="8306"/>
              <w:tab w:val="clear" w:pos="7920"/>
            </w:tabs>
            <w:ind w:right="1260" w:firstLine="0" w:firstLineChars="0"/>
          </w:pPr>
          <w:r>
            <w:fldChar w:fldCharType="begin"/>
          </w:r>
          <w:r>
            <w:instrText xml:space="preserve"> HYPERLINK \l "_Toc24602" </w:instrText>
          </w:r>
          <w:r>
            <w:fldChar w:fldCharType="separate"/>
          </w:r>
          <w:r>
            <w:rPr>
              <w:rFonts w:hint="eastAsia" w:ascii="宋体" w:hAnsi="宋体" w:cs="宋体"/>
              <w:snapToGrid w:val="0"/>
              <w:kern w:val="21"/>
              <w:szCs w:val="32"/>
            </w:rPr>
            <w:t>附表</w:t>
          </w:r>
          <w:r>
            <w:tab/>
          </w:r>
          <w:r>
            <w:fldChar w:fldCharType="begin"/>
          </w:r>
          <w:r>
            <w:instrText xml:space="preserve"> PAGEREF _Toc24602 \h </w:instrText>
          </w:r>
          <w:r>
            <w:fldChar w:fldCharType="separate"/>
          </w:r>
          <w:r>
            <w:t>113</w:t>
          </w:r>
          <w:r>
            <w:fldChar w:fldCharType="end"/>
          </w:r>
          <w:r>
            <w:fldChar w:fldCharType="end"/>
          </w:r>
        </w:p>
        <w:p>
          <w:pPr>
            <w:ind w:firstLine="0" w:firstLineChars="0"/>
          </w:pPr>
          <w:r>
            <w:fldChar w:fldCharType="end"/>
          </w:r>
        </w:p>
      </w:sdtContent>
    </w:sdt>
    <w:p>
      <w:pPr>
        <w:ind w:firstLine="0" w:firstLineChars="0"/>
        <w:rPr>
          <w:b/>
          <w:bCs/>
          <w:sz w:val="24"/>
        </w:rPr>
      </w:pPr>
      <w:r>
        <w:rPr>
          <w:b/>
          <w:bCs/>
          <w:sz w:val="24"/>
        </w:rPr>
        <w:t xml:space="preserve">附图 </w:t>
      </w:r>
    </w:p>
    <w:p>
      <w:pPr>
        <w:ind w:firstLine="0" w:firstLineChars="0"/>
        <w:rPr>
          <w:sz w:val="24"/>
        </w:rPr>
      </w:pPr>
      <w:r>
        <w:rPr>
          <w:rFonts w:hint="eastAsia"/>
          <w:sz w:val="24"/>
        </w:rPr>
        <w:t>附图1  项目地理位置图</w:t>
      </w:r>
    </w:p>
    <w:p>
      <w:pPr>
        <w:ind w:firstLine="0" w:firstLineChars="0"/>
        <w:rPr>
          <w:sz w:val="24"/>
        </w:rPr>
      </w:pPr>
      <w:r>
        <w:rPr>
          <w:rFonts w:hint="eastAsia"/>
          <w:sz w:val="24"/>
        </w:rPr>
        <w:t>附图2  项目周边环境示意图</w:t>
      </w:r>
    </w:p>
    <w:p>
      <w:pPr>
        <w:ind w:firstLine="0" w:firstLineChars="0"/>
        <w:rPr>
          <w:rFonts w:hint="default" w:eastAsia="宋体"/>
          <w:sz w:val="24"/>
          <w:lang w:val="en-US" w:eastAsia="zh-CN"/>
        </w:rPr>
      </w:pPr>
      <w:r>
        <w:rPr>
          <w:rFonts w:hint="eastAsia"/>
          <w:sz w:val="24"/>
        </w:rPr>
        <w:t xml:space="preserve">附图3 </w:t>
      </w:r>
      <w:r>
        <w:rPr>
          <w:sz w:val="24"/>
        </w:rPr>
        <w:t xml:space="preserve"> </w:t>
      </w:r>
      <w:r>
        <w:rPr>
          <w:rFonts w:hint="eastAsia"/>
          <w:sz w:val="24"/>
          <w:lang w:val="en-US" w:eastAsia="zh-CN"/>
        </w:rPr>
        <w:t>项目平面布置图</w:t>
      </w:r>
    </w:p>
    <w:p>
      <w:pPr>
        <w:ind w:firstLine="0" w:firstLineChars="0"/>
        <w:rPr>
          <w:rFonts w:hint="eastAsia"/>
          <w:sz w:val="24"/>
        </w:rPr>
      </w:pPr>
      <w:r>
        <w:rPr>
          <w:rFonts w:hint="eastAsia"/>
          <w:sz w:val="24"/>
        </w:rPr>
        <w:t>附图4  海宁市生态环境管控图</w:t>
      </w:r>
    </w:p>
    <w:p>
      <w:pPr>
        <w:ind w:firstLine="0" w:firstLineChars="0"/>
        <w:rPr>
          <w:rFonts w:hint="eastAsia"/>
          <w:sz w:val="24"/>
        </w:rPr>
      </w:pPr>
      <w:r>
        <w:rPr>
          <w:rFonts w:hint="eastAsia"/>
          <w:sz w:val="24"/>
          <w:lang w:val="en-US" w:eastAsia="zh-CN"/>
        </w:rPr>
        <w:t xml:space="preserve">附图5  </w:t>
      </w:r>
      <w:r>
        <w:rPr>
          <w:rFonts w:hint="eastAsia"/>
          <w:sz w:val="24"/>
        </w:rPr>
        <w:t>项目水功能区划图</w:t>
      </w:r>
    </w:p>
    <w:p>
      <w:pPr>
        <w:ind w:firstLine="0" w:firstLineChars="0"/>
        <w:rPr>
          <w:rFonts w:hint="eastAsia"/>
          <w:sz w:val="24"/>
        </w:rPr>
      </w:pPr>
      <w:r>
        <w:rPr>
          <w:rFonts w:hint="eastAsia"/>
          <w:sz w:val="24"/>
        </w:rPr>
        <w:t>附图</w:t>
      </w:r>
      <w:r>
        <w:rPr>
          <w:rFonts w:hint="eastAsia"/>
          <w:sz w:val="24"/>
          <w:lang w:val="en-US" w:eastAsia="zh-CN"/>
        </w:rPr>
        <w:t>6</w:t>
      </w:r>
      <w:r>
        <w:rPr>
          <w:rFonts w:hint="eastAsia"/>
          <w:sz w:val="24"/>
        </w:rPr>
        <w:t xml:space="preserve"> </w:t>
      </w:r>
      <w:r>
        <w:rPr>
          <w:rFonts w:hint="eastAsia"/>
          <w:sz w:val="24"/>
          <w:lang w:val="en-US" w:eastAsia="zh-CN"/>
        </w:rPr>
        <w:t xml:space="preserve"> </w:t>
      </w:r>
      <w:r>
        <w:rPr>
          <w:rFonts w:hint="eastAsia"/>
          <w:sz w:val="24"/>
        </w:rPr>
        <w:t>所在区域三区三线图</w:t>
      </w:r>
    </w:p>
    <w:p>
      <w:pPr>
        <w:ind w:firstLine="0" w:firstLineChars="0"/>
        <w:rPr>
          <w:rFonts w:hint="eastAsia"/>
          <w:sz w:val="24"/>
        </w:rPr>
      </w:pPr>
      <w:r>
        <w:rPr>
          <w:rFonts w:hint="eastAsia"/>
          <w:sz w:val="24"/>
        </w:rPr>
        <w:t>附图</w:t>
      </w:r>
      <w:r>
        <w:rPr>
          <w:rFonts w:hint="eastAsia"/>
          <w:sz w:val="24"/>
          <w:lang w:val="en-US" w:eastAsia="zh-CN"/>
        </w:rPr>
        <w:t>7</w:t>
      </w:r>
      <w:r>
        <w:rPr>
          <w:rFonts w:hint="eastAsia"/>
          <w:sz w:val="24"/>
        </w:rPr>
        <w:t xml:space="preserve"> </w:t>
      </w:r>
      <w:r>
        <w:rPr>
          <w:rFonts w:hint="eastAsia"/>
          <w:sz w:val="24"/>
          <w:lang w:val="en-US" w:eastAsia="zh-CN"/>
        </w:rPr>
        <w:t xml:space="preserve"> </w:t>
      </w:r>
      <w:r>
        <w:rPr>
          <w:rFonts w:hint="eastAsia"/>
          <w:sz w:val="24"/>
        </w:rPr>
        <w:t>海宁市尖山新区规划图</w:t>
      </w:r>
    </w:p>
    <w:p>
      <w:pPr>
        <w:ind w:firstLine="0" w:firstLineChars="0"/>
        <w:rPr>
          <w:rFonts w:hint="eastAsia"/>
          <w:sz w:val="24"/>
        </w:rPr>
      </w:pPr>
      <w:r>
        <w:rPr>
          <w:rFonts w:hint="eastAsia"/>
          <w:sz w:val="24"/>
        </w:rPr>
        <w:t>附图</w:t>
      </w:r>
      <w:r>
        <w:rPr>
          <w:rFonts w:hint="eastAsia"/>
          <w:sz w:val="24"/>
          <w:lang w:val="en-US" w:eastAsia="zh-CN"/>
        </w:rPr>
        <w:t>8</w:t>
      </w:r>
      <w:r>
        <w:rPr>
          <w:rFonts w:hint="eastAsia"/>
          <w:sz w:val="24"/>
        </w:rPr>
        <w:t xml:space="preserve"> </w:t>
      </w:r>
      <w:r>
        <w:rPr>
          <w:rFonts w:hint="eastAsia"/>
          <w:sz w:val="24"/>
          <w:lang w:val="en-US" w:eastAsia="zh-CN"/>
        </w:rPr>
        <w:t xml:space="preserve"> </w:t>
      </w:r>
      <w:r>
        <w:rPr>
          <w:rFonts w:hint="eastAsia"/>
          <w:sz w:val="24"/>
        </w:rPr>
        <w:t>海宁市环境空气质量划分图</w:t>
      </w:r>
    </w:p>
    <w:p>
      <w:pPr>
        <w:ind w:firstLine="0" w:firstLineChars="0"/>
        <w:rPr>
          <w:rFonts w:hint="eastAsia"/>
          <w:sz w:val="24"/>
          <w:lang w:val="en-US" w:eastAsia="zh-CN"/>
        </w:rPr>
      </w:pPr>
      <w:r>
        <w:rPr>
          <w:rFonts w:hint="eastAsia"/>
          <w:sz w:val="24"/>
          <w:lang w:val="en-US" w:eastAsia="zh-CN"/>
        </w:rPr>
        <w:t>附图9  海宁市生态保护红线图</w:t>
      </w:r>
    </w:p>
    <w:p>
      <w:pPr>
        <w:ind w:firstLine="0" w:firstLineChars="0"/>
        <w:rPr>
          <w:rFonts w:hint="default"/>
          <w:sz w:val="24"/>
          <w:lang w:val="en-US" w:eastAsia="zh-CN"/>
        </w:rPr>
      </w:pPr>
      <w:r>
        <w:rPr>
          <w:rFonts w:hint="eastAsia"/>
          <w:sz w:val="24"/>
          <w:lang w:val="en-US" w:eastAsia="zh-CN"/>
        </w:rPr>
        <w:t xml:space="preserve">附图10  </w:t>
      </w:r>
      <w:r>
        <w:rPr>
          <w:rFonts w:hint="eastAsia"/>
          <w:sz w:val="24"/>
        </w:rPr>
        <w:t>本项目周边环境照片</w:t>
      </w:r>
      <w:r>
        <w:rPr>
          <w:rFonts w:hint="eastAsia"/>
          <w:sz w:val="24"/>
          <w:lang w:val="en-US" w:eastAsia="zh-CN"/>
        </w:rPr>
        <w:t>及工程师现场踏勘图</w:t>
      </w:r>
    </w:p>
    <w:p>
      <w:pPr>
        <w:ind w:firstLine="0" w:firstLineChars="0"/>
        <w:rPr>
          <w:b/>
          <w:bCs/>
          <w:sz w:val="24"/>
        </w:rPr>
      </w:pPr>
    </w:p>
    <w:p>
      <w:pPr>
        <w:ind w:firstLine="0" w:firstLineChars="0"/>
        <w:rPr>
          <w:b/>
          <w:bCs/>
          <w:sz w:val="24"/>
        </w:rPr>
      </w:pPr>
      <w:r>
        <w:rPr>
          <w:b/>
          <w:bCs/>
          <w:sz w:val="24"/>
        </w:rPr>
        <w:t>附件</w:t>
      </w:r>
    </w:p>
    <w:p>
      <w:pPr>
        <w:ind w:firstLine="0" w:firstLineChars="0"/>
        <w:rPr>
          <w:sz w:val="24"/>
        </w:rPr>
      </w:pPr>
      <w:r>
        <w:rPr>
          <w:sz w:val="24"/>
        </w:rPr>
        <w:t xml:space="preserve">附件1  </w:t>
      </w:r>
      <w:r>
        <w:rPr>
          <w:rFonts w:hint="eastAsia"/>
          <w:sz w:val="24"/>
        </w:rPr>
        <w:t>浙江省工业企业“零土地”技术改造项目备案通知书</w:t>
      </w:r>
    </w:p>
    <w:p>
      <w:pPr>
        <w:ind w:firstLine="0" w:firstLineChars="0"/>
        <w:rPr>
          <w:rFonts w:hint="default" w:eastAsia="宋体"/>
          <w:sz w:val="24"/>
          <w:lang w:val="en-US" w:eastAsia="zh-CN"/>
        </w:rPr>
      </w:pPr>
      <w:r>
        <w:rPr>
          <w:sz w:val="24"/>
        </w:rPr>
        <w:t>附件2</w:t>
      </w:r>
      <w:r>
        <w:rPr>
          <w:rFonts w:hint="eastAsia"/>
          <w:sz w:val="24"/>
          <w:lang w:val="en-US" w:eastAsia="zh-CN"/>
        </w:rPr>
        <w:t xml:space="preserve">  营业执照</w:t>
      </w:r>
    </w:p>
    <w:p>
      <w:pPr>
        <w:ind w:firstLine="0" w:firstLineChars="0"/>
        <w:rPr>
          <w:sz w:val="24"/>
        </w:rPr>
      </w:pPr>
      <w:r>
        <w:rPr>
          <w:rFonts w:hint="eastAsia"/>
          <w:sz w:val="24"/>
          <w:lang w:val="en-US" w:eastAsia="zh-CN"/>
        </w:rPr>
        <w:t>附件3</w:t>
      </w:r>
      <w:r>
        <w:rPr>
          <w:sz w:val="24"/>
        </w:rPr>
        <w:t xml:space="preserve">  </w:t>
      </w:r>
      <w:r>
        <w:rPr>
          <w:rFonts w:hint="eastAsia"/>
          <w:sz w:val="24"/>
          <w:lang w:val="en-US" w:eastAsia="zh-CN"/>
        </w:rPr>
        <w:t>不动产权证</w:t>
      </w:r>
    </w:p>
    <w:p>
      <w:pPr>
        <w:ind w:firstLine="0" w:firstLineChars="0"/>
        <w:rPr>
          <w:sz w:val="24"/>
        </w:rPr>
      </w:pPr>
      <w:r>
        <w:rPr>
          <w:sz w:val="24"/>
        </w:rPr>
        <w:t>附件</w:t>
      </w:r>
      <w:r>
        <w:rPr>
          <w:rFonts w:hint="eastAsia"/>
          <w:sz w:val="24"/>
          <w:lang w:val="en-US" w:eastAsia="zh-CN"/>
        </w:rPr>
        <w:t>4</w:t>
      </w:r>
      <w:r>
        <w:rPr>
          <w:sz w:val="24"/>
        </w:rPr>
        <w:t xml:space="preserve">  </w:t>
      </w:r>
      <w:r>
        <w:rPr>
          <w:rFonts w:hint="eastAsia"/>
          <w:sz w:val="24"/>
        </w:rPr>
        <w:t>环评批复</w:t>
      </w:r>
    </w:p>
    <w:p>
      <w:pPr>
        <w:ind w:firstLine="0" w:firstLineChars="0"/>
        <w:rPr>
          <w:sz w:val="24"/>
        </w:rPr>
      </w:pPr>
      <w:r>
        <w:rPr>
          <w:sz w:val="24"/>
        </w:rPr>
        <w:t>附件</w:t>
      </w:r>
      <w:r>
        <w:rPr>
          <w:rFonts w:hint="eastAsia"/>
          <w:sz w:val="24"/>
          <w:lang w:val="en-US" w:eastAsia="zh-CN"/>
        </w:rPr>
        <w:t>5</w:t>
      </w:r>
      <w:r>
        <w:rPr>
          <w:sz w:val="24"/>
        </w:rPr>
        <w:t xml:space="preserve">  </w:t>
      </w:r>
      <w:r>
        <w:rPr>
          <w:rFonts w:hint="eastAsia"/>
          <w:sz w:val="24"/>
        </w:rPr>
        <w:t>验收意见</w:t>
      </w:r>
    </w:p>
    <w:p>
      <w:pPr>
        <w:ind w:firstLine="0" w:firstLineChars="0"/>
        <w:rPr>
          <w:rFonts w:hint="eastAsia"/>
          <w:sz w:val="24"/>
          <w:lang w:val="en-US" w:eastAsia="zh-CN"/>
        </w:rPr>
      </w:pPr>
      <w:r>
        <w:rPr>
          <w:rFonts w:hint="eastAsia"/>
          <w:sz w:val="24"/>
          <w:lang w:val="en-US" w:eastAsia="zh-CN"/>
        </w:rPr>
        <w:t>附件6  排污许可证.</w:t>
      </w:r>
    </w:p>
    <w:p>
      <w:pPr>
        <w:ind w:firstLine="0" w:firstLineChars="0"/>
        <w:rPr>
          <w:rFonts w:hint="default"/>
          <w:sz w:val="24"/>
          <w:lang w:val="en-US" w:eastAsia="zh-CN"/>
        </w:rPr>
      </w:pPr>
      <w:r>
        <w:rPr>
          <w:rFonts w:hint="eastAsia"/>
          <w:sz w:val="24"/>
          <w:lang w:val="en-US" w:eastAsia="zh-CN"/>
        </w:rPr>
        <w:t>附件7  一般固废回收协议</w:t>
      </w:r>
    </w:p>
    <w:p>
      <w:pPr>
        <w:ind w:firstLine="0" w:firstLineChars="0"/>
        <w:rPr>
          <w:rFonts w:hint="default"/>
          <w:sz w:val="24"/>
          <w:lang w:val="en-US" w:eastAsia="zh-CN"/>
        </w:rPr>
      </w:pPr>
      <w:r>
        <w:rPr>
          <w:rFonts w:hint="eastAsia"/>
          <w:sz w:val="24"/>
          <w:lang w:val="en-US" w:eastAsia="zh-CN"/>
        </w:rPr>
        <w:t>附件8  危废处置协议</w:t>
      </w:r>
    </w:p>
    <w:p>
      <w:pPr>
        <w:ind w:firstLine="0" w:firstLineChars="0"/>
        <w:rPr>
          <w:rFonts w:hint="default"/>
          <w:sz w:val="24"/>
          <w:lang w:val="en-US" w:eastAsia="zh-CN"/>
        </w:rPr>
      </w:pPr>
      <w:r>
        <w:rPr>
          <w:rFonts w:hint="eastAsia"/>
          <w:sz w:val="24"/>
          <w:lang w:val="en-US" w:eastAsia="zh-CN"/>
        </w:rPr>
        <w:t>附件9  MSDS</w:t>
      </w:r>
    </w:p>
    <w:p>
      <w:pPr>
        <w:ind w:firstLine="0" w:firstLineChars="0"/>
        <w:rPr>
          <w:rFonts w:hint="eastAsia"/>
          <w:sz w:val="24"/>
        </w:rPr>
      </w:pPr>
      <w:r>
        <w:rPr>
          <w:rFonts w:hint="eastAsia"/>
          <w:sz w:val="24"/>
        </w:rPr>
        <w:t>附件</w:t>
      </w:r>
      <w:r>
        <w:rPr>
          <w:rFonts w:hint="eastAsia"/>
          <w:sz w:val="24"/>
          <w:lang w:val="en-US" w:eastAsia="zh-CN"/>
        </w:rPr>
        <w:t>10</w:t>
      </w:r>
      <w:r>
        <w:rPr>
          <w:rFonts w:hint="eastAsia"/>
          <w:sz w:val="24"/>
        </w:rPr>
        <w:t xml:space="preserve">  建设项目环保承诺书</w:t>
      </w:r>
    </w:p>
    <w:p>
      <w:pPr>
        <w:ind w:firstLine="0" w:firstLineChars="0"/>
        <w:rPr>
          <w:rFonts w:hint="eastAsia"/>
          <w:sz w:val="24"/>
          <w:lang w:val="en-US" w:eastAsia="zh-CN"/>
        </w:rPr>
      </w:pPr>
      <w:r>
        <w:rPr>
          <w:rFonts w:hint="eastAsia"/>
          <w:sz w:val="24"/>
          <w:lang w:val="en-US" w:eastAsia="zh-CN"/>
        </w:rPr>
        <w:t>附件11  总量平衡方案</w:t>
      </w:r>
    </w:p>
    <w:p>
      <w:pPr>
        <w:ind w:firstLine="0" w:firstLineChars="0"/>
        <w:rPr>
          <w:rFonts w:hint="default"/>
          <w:sz w:val="24"/>
          <w:lang w:val="en-US" w:eastAsia="zh-CN"/>
        </w:rPr>
      </w:pPr>
      <w:r>
        <w:rPr>
          <w:rFonts w:hint="eastAsia"/>
          <w:sz w:val="24"/>
          <w:lang w:val="en-US" w:eastAsia="zh-CN"/>
        </w:rPr>
        <w:t>附件12  环评文件确认书</w:t>
      </w:r>
    </w:p>
    <w:p>
      <w:pPr>
        <w:ind w:firstLine="0" w:firstLineChars="0"/>
        <w:rPr>
          <w:rFonts w:hint="default"/>
          <w:sz w:val="24"/>
          <w:lang w:val="en-US" w:eastAsia="zh-CN"/>
        </w:rPr>
      </w:pPr>
      <w:r>
        <w:rPr>
          <w:rFonts w:hint="eastAsia"/>
          <w:sz w:val="24"/>
          <w:lang w:val="en-US" w:eastAsia="zh-CN"/>
        </w:rPr>
        <w:t>附件13  专家函审意见及修改清单</w:t>
      </w:r>
    </w:p>
    <w:p>
      <w:pPr>
        <w:ind w:firstLine="0" w:firstLineChars="0"/>
        <w:rPr>
          <w:rFonts w:hint="default"/>
          <w:sz w:val="24"/>
          <w:lang w:val="en-US" w:eastAsia="zh-CN"/>
        </w:rPr>
      </w:pPr>
      <w:r>
        <w:rPr>
          <w:rFonts w:hint="eastAsia"/>
          <w:sz w:val="24"/>
          <w:lang w:val="en-US" w:eastAsia="zh-CN"/>
        </w:rPr>
        <w:t>附件14  专家复核意见</w:t>
      </w:r>
    </w:p>
    <w:p>
      <w:pPr>
        <w:ind w:firstLine="0" w:firstLineChars="0"/>
        <w:rPr>
          <w:b/>
          <w:bCs/>
          <w:sz w:val="24"/>
        </w:rPr>
      </w:pPr>
      <w:r>
        <w:fldChar w:fldCharType="begin"/>
      </w:r>
      <w:r>
        <w:instrText xml:space="preserve"> HYPERLINK \l "_Toc25577_WPSOffice_Level1" </w:instrText>
      </w:r>
      <w:r>
        <w:fldChar w:fldCharType="separate"/>
      </w:r>
      <w:r>
        <w:rPr>
          <w:b/>
          <w:bCs/>
          <w:sz w:val="24"/>
        </w:rPr>
        <w:t>附表</w:t>
      </w:r>
      <w:r>
        <w:rPr>
          <w:b/>
          <w:bCs/>
          <w:sz w:val="24"/>
        </w:rPr>
        <w:fldChar w:fldCharType="end"/>
      </w:r>
    </w:p>
    <w:p>
      <w:pPr>
        <w:spacing w:line="360" w:lineRule="exact"/>
        <w:ind w:firstLine="0" w:firstLineChars="0"/>
        <w:rPr>
          <w:sz w:val="24"/>
        </w:rPr>
      </w:pPr>
      <w:r>
        <w:rPr>
          <w:sz w:val="24"/>
        </w:rPr>
        <w:t xml:space="preserve">附表1  </w:t>
      </w:r>
      <w:r>
        <w:fldChar w:fldCharType="begin"/>
      </w:r>
      <w:r>
        <w:instrText xml:space="preserve"> HYPERLINK \l "_Toc4798_WPSOffice_Level1" </w:instrText>
      </w:r>
      <w:r>
        <w:fldChar w:fldCharType="separate"/>
      </w:r>
      <w:r>
        <w:rPr>
          <w:sz w:val="24"/>
        </w:rPr>
        <w:t>建设项目污染物排放量汇总表</w:t>
      </w:r>
      <w:r>
        <w:rPr>
          <w:sz w:val="24"/>
        </w:rPr>
        <w:fldChar w:fldCharType="end"/>
      </w:r>
    </w:p>
    <w:p>
      <w:pPr>
        <w:pStyle w:val="4"/>
        <w:rPr>
          <w:rFonts w:hint="eastAsia"/>
        </w:rPr>
        <w:sectPr>
          <w:footerReference r:id="rId9" w:type="default"/>
          <w:pgSz w:w="11906" w:h="16838"/>
          <w:pgMar w:top="1440" w:right="1800" w:bottom="1440" w:left="1800" w:header="851" w:footer="992" w:gutter="0"/>
          <w:pgNumType w:start="1"/>
          <w:cols w:space="425" w:num="1"/>
          <w:docGrid w:type="lines" w:linePitch="312" w:charSpace="0"/>
        </w:sectPr>
      </w:pPr>
      <w:bookmarkStart w:id="0" w:name="_Toc32705"/>
    </w:p>
    <w:p>
      <w:pPr>
        <w:pStyle w:val="4"/>
      </w:pPr>
      <w:r>
        <w:rPr>
          <w:rFonts w:hint="eastAsia"/>
        </w:rPr>
        <w:t>一、建设项目基本情况</w:t>
      </w:r>
      <w:bookmarkEnd w:id="0"/>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1"/>
        <w:gridCol w:w="2595"/>
        <w:gridCol w:w="1980"/>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360" w:lineRule="exact"/>
              <w:ind w:firstLine="0" w:firstLineChars="0"/>
              <w:jc w:val="center"/>
            </w:pPr>
            <w:r>
              <w:t>建设项目名称</w:t>
            </w:r>
          </w:p>
        </w:tc>
        <w:tc>
          <w:tcPr>
            <w:tcW w:w="7331" w:type="dxa"/>
            <w:gridSpan w:val="3"/>
            <w:tcBorders>
              <w:tl2br w:val="nil"/>
              <w:tr2bl w:val="nil"/>
            </w:tcBorders>
            <w:vAlign w:val="center"/>
          </w:tcPr>
          <w:p>
            <w:pPr>
              <w:spacing w:line="240" w:lineRule="auto"/>
              <w:ind w:firstLine="0" w:firstLineChars="0"/>
              <w:jc w:val="center"/>
              <w:rPr>
                <w:rFonts w:hint="eastAsia" w:eastAsia="宋体"/>
                <w:lang w:eastAsia="zh-CN"/>
              </w:rPr>
            </w:pPr>
            <w:r>
              <w:rPr>
                <w:rFonts w:hint="eastAsia"/>
                <w:lang w:eastAsia="zh-CN"/>
              </w:rPr>
              <w:t>新建年产5GWh储能系统项目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t>项目代码</w:t>
            </w:r>
          </w:p>
        </w:tc>
        <w:tc>
          <w:tcPr>
            <w:tcW w:w="7331" w:type="dxa"/>
            <w:gridSpan w:val="3"/>
            <w:tcBorders>
              <w:tl2br w:val="nil"/>
              <w:tr2bl w:val="nil"/>
            </w:tcBorders>
            <w:vAlign w:val="center"/>
          </w:tcPr>
          <w:p>
            <w:pPr>
              <w:spacing w:line="276" w:lineRule="auto"/>
              <w:ind w:firstLine="0" w:firstLineChars="0"/>
              <w:jc w:val="center"/>
              <w:rPr>
                <w:rFonts w:hint="eastAsia" w:eastAsia="宋体"/>
                <w:lang w:eastAsia="zh-CN"/>
              </w:rPr>
            </w:pPr>
            <w:r>
              <w:rPr>
                <w:rFonts w:hint="eastAsia"/>
                <w:lang w:eastAsia="zh-CN"/>
              </w:rPr>
              <w:t>2506-330481-07-02-549393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t>建设单位联系人</w:t>
            </w:r>
          </w:p>
        </w:tc>
        <w:tc>
          <w:tcPr>
            <w:tcW w:w="2595" w:type="dxa"/>
            <w:tcBorders>
              <w:tl2br w:val="nil"/>
              <w:tr2bl w:val="nil"/>
            </w:tcBorders>
            <w:vAlign w:val="center"/>
          </w:tcPr>
          <w:p>
            <w:pPr>
              <w:spacing w:line="276" w:lineRule="auto"/>
              <w:ind w:firstLine="0" w:firstLineChars="0"/>
              <w:jc w:val="center"/>
            </w:pPr>
            <w:r>
              <w:rPr>
                <w:rFonts w:hint="eastAsia"/>
                <w:szCs w:val="21"/>
              </w:rPr>
              <w:t>邓文帝</w:t>
            </w:r>
          </w:p>
        </w:tc>
        <w:tc>
          <w:tcPr>
            <w:tcW w:w="1980" w:type="dxa"/>
            <w:tcBorders>
              <w:tl2br w:val="nil"/>
              <w:tr2bl w:val="nil"/>
            </w:tcBorders>
            <w:vAlign w:val="center"/>
          </w:tcPr>
          <w:p>
            <w:pPr>
              <w:spacing w:line="276" w:lineRule="auto"/>
              <w:ind w:firstLine="0" w:firstLineChars="0"/>
              <w:jc w:val="center"/>
            </w:pPr>
            <w:r>
              <w:t>联系方式</w:t>
            </w:r>
          </w:p>
        </w:tc>
        <w:tc>
          <w:tcPr>
            <w:tcW w:w="2756" w:type="dxa"/>
            <w:tcBorders>
              <w:tl2br w:val="nil"/>
              <w:tr2bl w:val="nil"/>
            </w:tcBorders>
            <w:vAlign w:val="center"/>
          </w:tcPr>
          <w:p>
            <w:pPr>
              <w:spacing w:line="276" w:lineRule="auto"/>
              <w:ind w:firstLine="0" w:firstLineChars="0"/>
              <w:jc w:val="center"/>
            </w:pPr>
            <w:r>
              <w:rPr>
                <w:rFonts w:hint="eastAsia"/>
                <w:szCs w:val="21"/>
                <w:lang w:bidi="ar"/>
              </w:rPr>
              <w:t>18826241185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rPr>
                <w:rFonts w:hint="eastAsia"/>
              </w:rPr>
              <w:t>建设地点</w:t>
            </w:r>
          </w:p>
        </w:tc>
        <w:tc>
          <w:tcPr>
            <w:tcW w:w="7331" w:type="dxa"/>
            <w:gridSpan w:val="3"/>
            <w:tcBorders>
              <w:tl2br w:val="nil"/>
              <w:tr2bl w:val="nil"/>
            </w:tcBorders>
            <w:vAlign w:val="center"/>
          </w:tcPr>
          <w:p>
            <w:pPr>
              <w:spacing w:line="276" w:lineRule="auto"/>
              <w:ind w:firstLine="0" w:firstLineChars="0"/>
              <w:jc w:val="center"/>
            </w:pPr>
            <w:r>
              <w:rPr>
                <w:rFonts w:hint="eastAsia"/>
                <w:lang w:val="en-US" w:eastAsia="zh-CN"/>
              </w:rPr>
              <w:t>嘉兴市海宁市</w:t>
            </w:r>
            <w:r>
              <w:rPr>
                <w:rFonts w:hint="eastAsia"/>
              </w:rPr>
              <w:t>黄湾镇尖山新区向心路8号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t>地理坐标</w:t>
            </w:r>
          </w:p>
        </w:tc>
        <w:tc>
          <w:tcPr>
            <w:tcW w:w="7331" w:type="dxa"/>
            <w:gridSpan w:val="3"/>
            <w:tcBorders>
              <w:tl2br w:val="nil"/>
              <w:tr2bl w:val="nil"/>
            </w:tcBorders>
            <w:vAlign w:val="center"/>
          </w:tcPr>
          <w:p>
            <w:pPr>
              <w:spacing w:line="276" w:lineRule="auto"/>
              <w:ind w:firstLine="0" w:firstLineChars="0"/>
              <w:jc w:val="center"/>
            </w:pPr>
            <w:r>
              <w:t>（  12</w:t>
            </w:r>
            <w:r>
              <w:rPr>
                <w:rFonts w:hint="eastAsia"/>
              </w:rPr>
              <w:t>0</w:t>
            </w:r>
            <w:r>
              <w:t xml:space="preserve">  度 </w:t>
            </w:r>
            <w:r>
              <w:rPr>
                <w:rFonts w:hint="eastAsia"/>
                <w:lang w:val="en-US" w:eastAsia="zh-CN"/>
              </w:rPr>
              <w:t>4</w:t>
            </w:r>
            <w:r>
              <w:rPr>
                <w:rFonts w:hint="eastAsia"/>
              </w:rPr>
              <w:t>5</w:t>
            </w:r>
            <w:r>
              <w:t xml:space="preserve"> 分  </w:t>
            </w:r>
            <w:r>
              <w:rPr>
                <w:rFonts w:hint="eastAsia"/>
                <w:lang w:val="en-US" w:eastAsia="zh-CN"/>
              </w:rPr>
              <w:t>20.826</w:t>
            </w:r>
            <w:r>
              <w:t xml:space="preserve">秒，  30  度  </w:t>
            </w:r>
            <w:r>
              <w:rPr>
                <w:rFonts w:hint="eastAsia"/>
                <w:lang w:val="en-US" w:eastAsia="zh-CN"/>
              </w:rPr>
              <w:t>1</w:t>
            </w:r>
            <w:r>
              <w:rPr>
                <w:rFonts w:hint="eastAsia"/>
              </w:rPr>
              <w:t>9</w:t>
            </w:r>
            <w:r>
              <w:t xml:space="preserve"> 分 </w:t>
            </w:r>
            <w:r>
              <w:rPr>
                <w:rFonts w:hint="eastAsia"/>
                <w:lang w:val="en-US" w:eastAsia="zh-CN"/>
              </w:rPr>
              <w:t>31.080</w:t>
            </w:r>
            <w:r>
              <w:t xml:space="preserve"> 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rPr>
                <w:rFonts w:hint="eastAsia"/>
              </w:rPr>
              <w:t>国民经济</w:t>
            </w:r>
          </w:p>
          <w:p>
            <w:pPr>
              <w:spacing w:line="276" w:lineRule="auto"/>
              <w:ind w:firstLine="0" w:firstLineChars="0"/>
              <w:jc w:val="center"/>
            </w:pPr>
            <w:r>
              <w:rPr>
                <w:rFonts w:hint="eastAsia"/>
              </w:rPr>
              <w:t>行业类别</w:t>
            </w:r>
          </w:p>
        </w:tc>
        <w:tc>
          <w:tcPr>
            <w:tcW w:w="2595" w:type="dxa"/>
            <w:tcBorders>
              <w:tl2br w:val="nil"/>
              <w:tr2bl w:val="nil"/>
            </w:tcBorders>
            <w:vAlign w:val="center"/>
          </w:tcPr>
          <w:p>
            <w:pPr>
              <w:spacing w:line="276" w:lineRule="auto"/>
              <w:ind w:firstLine="0" w:firstLineChars="0"/>
              <w:jc w:val="center"/>
            </w:pPr>
            <w:r>
              <w:rPr>
                <w:rFonts w:hint="eastAsia"/>
              </w:rPr>
              <w:t>C3841 锂离子电池制造</w:t>
            </w:r>
          </w:p>
        </w:tc>
        <w:tc>
          <w:tcPr>
            <w:tcW w:w="1980" w:type="dxa"/>
            <w:tcBorders>
              <w:tl2br w:val="nil"/>
              <w:tr2bl w:val="nil"/>
            </w:tcBorders>
            <w:vAlign w:val="center"/>
          </w:tcPr>
          <w:p>
            <w:pPr>
              <w:spacing w:line="276" w:lineRule="auto"/>
              <w:ind w:firstLine="0" w:firstLineChars="0"/>
              <w:jc w:val="center"/>
            </w:pPr>
            <w:r>
              <w:rPr>
                <w:rFonts w:hint="eastAsia"/>
              </w:rPr>
              <w:t>建设项目</w:t>
            </w:r>
          </w:p>
          <w:p>
            <w:pPr>
              <w:spacing w:line="276" w:lineRule="auto"/>
              <w:ind w:firstLine="0" w:firstLineChars="0"/>
              <w:jc w:val="center"/>
            </w:pPr>
            <w:r>
              <w:rPr>
                <w:rFonts w:hint="eastAsia"/>
              </w:rPr>
              <w:t>行业类别</w:t>
            </w:r>
          </w:p>
        </w:tc>
        <w:tc>
          <w:tcPr>
            <w:tcW w:w="2756" w:type="dxa"/>
            <w:tcBorders>
              <w:tl2br w:val="nil"/>
              <w:tr2bl w:val="nil"/>
            </w:tcBorders>
            <w:vAlign w:val="center"/>
          </w:tcPr>
          <w:p>
            <w:pPr>
              <w:spacing w:line="276" w:lineRule="auto"/>
              <w:ind w:firstLine="0" w:firstLineChars="0"/>
              <w:jc w:val="center"/>
            </w:pPr>
            <w:r>
              <w:rPr>
                <w:rFonts w:hint="eastAsia"/>
              </w:rPr>
              <w:t>三十五、电气机械和器材制造业38，电池制造384，其他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rPr>
                <w:rFonts w:hint="eastAsia"/>
              </w:rPr>
              <w:t>建设性质</w:t>
            </w:r>
          </w:p>
        </w:tc>
        <w:tc>
          <w:tcPr>
            <w:tcW w:w="2595" w:type="dxa"/>
            <w:tcBorders>
              <w:tl2br w:val="nil"/>
              <w:tr2bl w:val="nil"/>
            </w:tcBorders>
            <w:vAlign w:val="center"/>
          </w:tcPr>
          <w:p>
            <w:pPr>
              <w:spacing w:line="276" w:lineRule="auto"/>
              <w:ind w:firstLine="0" w:firstLineChars="0"/>
              <w:jc w:val="center"/>
            </w:pPr>
            <w:r>
              <w:rPr/>
              <w:sym w:font="Wingdings 2" w:char="00A3"/>
            </w:r>
            <w:r>
              <w:t>新建</w:t>
            </w:r>
          </w:p>
          <w:p>
            <w:pPr>
              <w:spacing w:line="276" w:lineRule="auto"/>
              <w:ind w:firstLine="0" w:firstLineChars="0"/>
              <w:jc w:val="center"/>
            </w:pPr>
            <w:r>
              <w:rPr/>
              <w:sym w:font="Wingdings 2" w:char="00A3"/>
            </w:r>
            <w:r>
              <w:t>改建</w:t>
            </w:r>
          </w:p>
          <w:p>
            <w:pPr>
              <w:spacing w:line="276" w:lineRule="auto"/>
              <w:ind w:firstLine="0" w:firstLineChars="0"/>
              <w:jc w:val="center"/>
            </w:pPr>
            <w:r>
              <w:rPr/>
              <w:sym w:font="Wingdings 2" w:char="0052"/>
            </w:r>
            <w:r>
              <w:t>扩建</w:t>
            </w:r>
          </w:p>
          <w:p>
            <w:pPr>
              <w:spacing w:line="276" w:lineRule="auto"/>
              <w:ind w:firstLine="0" w:firstLineChars="0"/>
              <w:jc w:val="center"/>
            </w:pPr>
            <w:r>
              <w:rPr/>
              <w:sym w:font="Wingdings 2" w:char="00A3"/>
            </w:r>
            <w:r>
              <w:t>技术改造</w:t>
            </w:r>
          </w:p>
        </w:tc>
        <w:tc>
          <w:tcPr>
            <w:tcW w:w="1980" w:type="dxa"/>
            <w:tcBorders>
              <w:tl2br w:val="nil"/>
              <w:tr2bl w:val="nil"/>
            </w:tcBorders>
            <w:vAlign w:val="center"/>
          </w:tcPr>
          <w:p>
            <w:pPr>
              <w:spacing w:line="276" w:lineRule="auto"/>
              <w:ind w:firstLine="0" w:firstLineChars="0"/>
              <w:jc w:val="center"/>
            </w:pPr>
            <w:r>
              <w:t>建设项目</w:t>
            </w:r>
          </w:p>
          <w:p>
            <w:pPr>
              <w:spacing w:line="276" w:lineRule="auto"/>
              <w:ind w:firstLine="0" w:firstLineChars="0"/>
              <w:jc w:val="center"/>
            </w:pPr>
            <w:r>
              <w:t>申报情形</w:t>
            </w:r>
          </w:p>
        </w:tc>
        <w:tc>
          <w:tcPr>
            <w:tcW w:w="2756" w:type="dxa"/>
            <w:tcBorders>
              <w:tl2br w:val="nil"/>
              <w:tr2bl w:val="nil"/>
            </w:tcBorders>
            <w:vAlign w:val="center"/>
          </w:tcPr>
          <w:p>
            <w:pPr>
              <w:spacing w:line="276" w:lineRule="auto"/>
              <w:ind w:firstLine="0" w:firstLineChars="0"/>
              <w:jc w:val="left"/>
            </w:pPr>
            <w:r>
              <w:rPr/>
              <w:sym w:font="Wingdings 2" w:char="0052"/>
            </w:r>
            <w:r>
              <w:t>首次申报项目</w:t>
            </w:r>
          </w:p>
          <w:p>
            <w:pPr>
              <w:spacing w:line="276" w:lineRule="auto"/>
              <w:ind w:firstLine="0" w:firstLineChars="0"/>
              <w:jc w:val="left"/>
            </w:pPr>
            <w:r>
              <w:t>□不予批准后再次申报项目</w:t>
            </w:r>
          </w:p>
          <w:p>
            <w:pPr>
              <w:spacing w:line="276" w:lineRule="auto"/>
              <w:ind w:firstLine="0" w:firstLineChars="0"/>
              <w:jc w:val="left"/>
            </w:pPr>
            <w:r>
              <w:t>□超五年重新审核项目</w:t>
            </w:r>
          </w:p>
          <w:p>
            <w:pPr>
              <w:spacing w:line="276" w:lineRule="auto"/>
              <w:ind w:firstLine="0" w:firstLineChars="0"/>
              <w:jc w:val="left"/>
            </w:pPr>
            <w:r>
              <w:t>□重大变动重新报批项目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t>项目审批（核准/备案）部门</w:t>
            </w:r>
          </w:p>
          <w:p>
            <w:pPr>
              <w:spacing w:line="276" w:lineRule="auto"/>
              <w:ind w:firstLine="0" w:firstLineChars="0"/>
              <w:jc w:val="center"/>
            </w:pPr>
            <w:r>
              <w:t>（选填</w:t>
            </w:r>
            <w:r>
              <w:rPr>
                <w:rFonts w:hint="eastAsia"/>
              </w:rPr>
              <w:t>)</w:t>
            </w:r>
          </w:p>
        </w:tc>
        <w:tc>
          <w:tcPr>
            <w:tcW w:w="2595" w:type="dxa"/>
            <w:tcBorders>
              <w:tl2br w:val="nil"/>
              <w:tr2bl w:val="nil"/>
            </w:tcBorders>
            <w:vAlign w:val="center"/>
          </w:tcPr>
          <w:p>
            <w:pPr>
              <w:spacing w:line="276" w:lineRule="auto"/>
              <w:ind w:firstLine="0" w:firstLineChars="0"/>
              <w:jc w:val="center"/>
            </w:pPr>
            <w:r>
              <w:rPr>
                <w:rFonts w:hint="eastAsia"/>
              </w:rPr>
              <w:t>/</w:t>
            </w:r>
          </w:p>
        </w:tc>
        <w:tc>
          <w:tcPr>
            <w:tcW w:w="1980" w:type="dxa"/>
            <w:tcBorders>
              <w:tl2br w:val="nil"/>
              <w:tr2bl w:val="nil"/>
            </w:tcBorders>
            <w:vAlign w:val="center"/>
          </w:tcPr>
          <w:p>
            <w:pPr>
              <w:spacing w:line="276" w:lineRule="auto"/>
              <w:ind w:firstLine="0" w:firstLineChars="0"/>
              <w:jc w:val="center"/>
            </w:pPr>
            <w:r>
              <w:t>项目审批（核准/备案）文号（选填</w:t>
            </w:r>
            <w:r>
              <w:rPr>
                <w:rFonts w:hint="eastAsia"/>
              </w:rPr>
              <w:t>）</w:t>
            </w:r>
          </w:p>
        </w:tc>
        <w:tc>
          <w:tcPr>
            <w:tcW w:w="2756" w:type="dxa"/>
            <w:tcBorders>
              <w:tl2br w:val="nil"/>
              <w:tr2bl w:val="nil"/>
            </w:tcBorders>
            <w:vAlign w:val="center"/>
          </w:tcPr>
          <w:p>
            <w:pPr>
              <w:spacing w:line="276" w:lineRule="auto"/>
              <w:ind w:firstLine="0" w:firstLineChars="0"/>
              <w:jc w:val="center"/>
            </w:pP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1191" w:type="dxa"/>
            <w:tcBorders>
              <w:tl2br w:val="nil"/>
              <w:tr2bl w:val="nil"/>
            </w:tcBorders>
            <w:vAlign w:val="center"/>
          </w:tcPr>
          <w:p>
            <w:pPr>
              <w:spacing w:line="276" w:lineRule="auto"/>
              <w:ind w:firstLine="0" w:firstLineChars="0"/>
              <w:jc w:val="center"/>
              <w:rPr>
                <w:rFonts w:hint="eastAsia"/>
              </w:rPr>
            </w:pPr>
            <w:r>
              <w:rPr>
                <w:rFonts w:hint="eastAsia"/>
              </w:rPr>
              <w:t>总投资</w:t>
            </w:r>
          </w:p>
          <w:p>
            <w:pPr>
              <w:spacing w:line="276" w:lineRule="auto"/>
              <w:ind w:firstLine="0" w:firstLineChars="0"/>
              <w:jc w:val="center"/>
            </w:pPr>
            <w:r>
              <w:rPr>
                <w:rFonts w:hint="eastAsia"/>
              </w:rPr>
              <w:t>（万元）</w:t>
            </w:r>
          </w:p>
        </w:tc>
        <w:tc>
          <w:tcPr>
            <w:tcW w:w="2595" w:type="dxa"/>
            <w:tcBorders>
              <w:tl2br w:val="nil"/>
              <w:tr2bl w:val="nil"/>
            </w:tcBorders>
            <w:vAlign w:val="center"/>
          </w:tcPr>
          <w:p>
            <w:pPr>
              <w:spacing w:line="276" w:lineRule="auto"/>
              <w:ind w:firstLine="0" w:firstLineChars="0"/>
              <w:jc w:val="center"/>
              <w:rPr>
                <w:rFonts w:hint="default" w:eastAsia="宋体"/>
                <w:highlight w:val="none"/>
                <w:lang w:val="en-US" w:eastAsia="zh-CN"/>
              </w:rPr>
            </w:pPr>
            <w:r>
              <w:rPr>
                <w:rFonts w:hint="eastAsia"/>
                <w:highlight w:val="none"/>
                <w:lang w:val="en-US" w:eastAsia="zh-CN"/>
              </w:rPr>
              <w:t>11000</w:t>
            </w:r>
          </w:p>
        </w:tc>
        <w:tc>
          <w:tcPr>
            <w:tcW w:w="1980" w:type="dxa"/>
            <w:tcBorders>
              <w:tl2br w:val="nil"/>
              <w:tr2bl w:val="nil"/>
            </w:tcBorders>
            <w:vAlign w:val="center"/>
          </w:tcPr>
          <w:p>
            <w:pPr>
              <w:spacing w:line="276" w:lineRule="auto"/>
              <w:ind w:firstLine="0" w:firstLineChars="0"/>
              <w:jc w:val="center"/>
              <w:rPr>
                <w:highlight w:val="none"/>
              </w:rPr>
            </w:pPr>
            <w:r>
              <w:rPr>
                <w:rFonts w:hint="eastAsia"/>
                <w:highlight w:val="none"/>
              </w:rPr>
              <w:t>环保投资</w:t>
            </w:r>
          </w:p>
        </w:tc>
        <w:tc>
          <w:tcPr>
            <w:tcW w:w="2756" w:type="dxa"/>
            <w:tcBorders>
              <w:tl2br w:val="nil"/>
              <w:tr2bl w:val="nil"/>
            </w:tcBorders>
            <w:vAlign w:val="center"/>
          </w:tcPr>
          <w:p>
            <w:pPr>
              <w:spacing w:line="276" w:lineRule="auto"/>
              <w:ind w:firstLine="0" w:firstLineChars="0"/>
              <w:jc w:val="center"/>
              <w:rPr>
                <w:rFonts w:hint="default" w:eastAsia="宋体"/>
                <w:highlight w:val="none"/>
                <w:lang w:val="en-US" w:eastAsia="zh-CN"/>
              </w:rPr>
            </w:pPr>
            <w:r>
              <w:rPr>
                <w:rFonts w:hint="eastAsia"/>
                <w:highlight w:val="none"/>
                <w:lang w:val="en-US" w:eastAsia="zh-C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rPr>
                <w:rFonts w:hint="eastAsia"/>
              </w:rPr>
              <w:t>环保投资占比（%）</w:t>
            </w:r>
          </w:p>
        </w:tc>
        <w:tc>
          <w:tcPr>
            <w:tcW w:w="2595" w:type="dxa"/>
            <w:tcBorders>
              <w:tl2br w:val="nil"/>
              <w:tr2bl w:val="nil"/>
            </w:tcBorders>
            <w:vAlign w:val="center"/>
          </w:tcPr>
          <w:p>
            <w:pPr>
              <w:spacing w:line="276" w:lineRule="auto"/>
              <w:ind w:firstLine="0" w:firstLineChars="0"/>
              <w:jc w:val="center"/>
              <w:rPr>
                <w:rFonts w:hint="default" w:eastAsia="宋体"/>
                <w:highlight w:val="none"/>
                <w:lang w:val="en-US" w:eastAsia="zh-CN"/>
              </w:rPr>
            </w:pPr>
            <w:r>
              <w:rPr>
                <w:rFonts w:hint="eastAsia"/>
                <w:highlight w:val="none"/>
                <w:lang w:val="en-US" w:eastAsia="zh-CN"/>
              </w:rPr>
              <w:t>0.45</w:t>
            </w:r>
          </w:p>
        </w:tc>
        <w:tc>
          <w:tcPr>
            <w:tcW w:w="1980" w:type="dxa"/>
            <w:tcBorders>
              <w:tl2br w:val="nil"/>
              <w:tr2bl w:val="nil"/>
            </w:tcBorders>
            <w:vAlign w:val="center"/>
          </w:tcPr>
          <w:p>
            <w:pPr>
              <w:spacing w:line="276" w:lineRule="auto"/>
              <w:ind w:firstLine="0" w:firstLineChars="0"/>
              <w:jc w:val="center"/>
              <w:rPr>
                <w:highlight w:val="none"/>
              </w:rPr>
            </w:pPr>
            <w:r>
              <w:rPr>
                <w:rFonts w:hint="eastAsia"/>
                <w:highlight w:val="none"/>
              </w:rPr>
              <w:t>施工工期</w:t>
            </w:r>
          </w:p>
        </w:tc>
        <w:tc>
          <w:tcPr>
            <w:tcW w:w="2756" w:type="dxa"/>
            <w:tcBorders>
              <w:tl2br w:val="nil"/>
              <w:tr2bl w:val="nil"/>
            </w:tcBorders>
            <w:vAlign w:val="center"/>
          </w:tcPr>
          <w:p>
            <w:pPr>
              <w:spacing w:line="276" w:lineRule="auto"/>
              <w:ind w:firstLine="0" w:firstLineChars="0"/>
              <w:jc w:val="center"/>
              <w:rPr>
                <w:highlight w:val="none"/>
              </w:rPr>
            </w:pPr>
            <w:r>
              <w:rPr>
                <w:rFonts w:hint="eastAsia"/>
                <w:highlight w:val="none"/>
                <w:lang w:val="en-US" w:eastAsia="zh-CN"/>
              </w:rPr>
              <w:t>3</w:t>
            </w:r>
            <w:r>
              <w:rPr>
                <w:rFonts w:hint="eastAsia"/>
                <w:highlight w:val="none"/>
              </w:rPr>
              <w:t>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spacing w:line="276" w:lineRule="auto"/>
              <w:ind w:firstLine="0" w:firstLineChars="0"/>
              <w:jc w:val="center"/>
            </w:pPr>
            <w:r>
              <w:t>是否开工建设</w:t>
            </w:r>
          </w:p>
        </w:tc>
        <w:tc>
          <w:tcPr>
            <w:tcW w:w="2595" w:type="dxa"/>
            <w:tcBorders>
              <w:tl2br w:val="nil"/>
              <w:tr2bl w:val="nil"/>
            </w:tcBorders>
            <w:vAlign w:val="center"/>
          </w:tcPr>
          <w:p>
            <w:pPr>
              <w:spacing w:line="276" w:lineRule="auto"/>
              <w:ind w:firstLine="0" w:firstLineChars="0"/>
              <w:jc w:val="center"/>
            </w:pPr>
            <w:r>
              <w:rPr/>
              <w:sym w:font="Wingdings 2" w:char="0052"/>
            </w:r>
            <w:r>
              <w:t>否</w:t>
            </w:r>
          </w:p>
          <w:p>
            <w:pPr>
              <w:spacing w:line="276" w:lineRule="auto"/>
              <w:ind w:firstLine="0" w:firstLineChars="0"/>
              <w:jc w:val="center"/>
            </w:pPr>
            <w:r>
              <w:rPr/>
              <w:sym w:font="Wingdings 2" w:char="00A3"/>
            </w:r>
            <w:r>
              <w:t>是</w:t>
            </w:r>
          </w:p>
        </w:tc>
        <w:tc>
          <w:tcPr>
            <w:tcW w:w="1980" w:type="dxa"/>
            <w:tcBorders>
              <w:tl2br w:val="nil"/>
              <w:tr2bl w:val="nil"/>
            </w:tcBorders>
            <w:vAlign w:val="center"/>
          </w:tcPr>
          <w:p>
            <w:pPr>
              <w:spacing w:line="276" w:lineRule="auto"/>
              <w:ind w:firstLine="0" w:firstLineChars="0"/>
              <w:jc w:val="center"/>
            </w:pPr>
            <w:r>
              <w:t>用地（用海）</w:t>
            </w:r>
          </w:p>
          <w:p>
            <w:pPr>
              <w:spacing w:line="276" w:lineRule="auto"/>
              <w:ind w:firstLine="0" w:firstLineChars="0"/>
              <w:jc w:val="center"/>
            </w:pPr>
            <w:r>
              <w:t>面积（m</w:t>
            </w:r>
            <w:r>
              <w:rPr>
                <w:vertAlign w:val="superscript"/>
              </w:rPr>
              <w:t>2</w:t>
            </w:r>
            <w:r>
              <w:t>）</w:t>
            </w:r>
          </w:p>
        </w:tc>
        <w:tc>
          <w:tcPr>
            <w:tcW w:w="2756" w:type="dxa"/>
            <w:tcBorders>
              <w:tl2br w:val="nil"/>
              <w:tr2bl w:val="nil"/>
            </w:tcBorders>
            <w:vAlign w:val="center"/>
          </w:tcPr>
          <w:p>
            <w:pPr>
              <w:spacing w:line="276" w:lineRule="auto"/>
              <w:ind w:firstLine="0" w:firstLineChars="0"/>
              <w:jc w:val="center"/>
            </w:pPr>
            <w:r>
              <w:rPr>
                <w:rFonts w:hint="eastAsia"/>
              </w:rPr>
              <w:t>本项目不涉及新增用地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jc w:val="center"/>
        </w:trPr>
        <w:tc>
          <w:tcPr>
            <w:tcW w:w="1191" w:type="dxa"/>
            <w:tcBorders>
              <w:tl2br w:val="nil"/>
              <w:tr2bl w:val="nil"/>
            </w:tcBorders>
            <w:vAlign w:val="center"/>
          </w:tcPr>
          <w:p>
            <w:pPr>
              <w:ind w:firstLine="0" w:firstLineChars="0"/>
            </w:pPr>
            <w:r>
              <w:rPr>
                <w:rFonts w:hint="eastAsia"/>
              </w:rPr>
              <w:t>专项评价设置情况</w:t>
            </w:r>
          </w:p>
        </w:tc>
        <w:tc>
          <w:tcPr>
            <w:tcW w:w="7331" w:type="dxa"/>
            <w:gridSpan w:val="3"/>
            <w:tcBorders>
              <w:tl2br w:val="nil"/>
              <w:tr2bl w:val="nil"/>
            </w:tcBorders>
            <w:vAlign w:val="center"/>
          </w:tcPr>
          <w:p>
            <w:pPr>
              <w:ind w:firstLine="0"/>
            </w:pPr>
            <w:r>
              <w:rPr>
                <w:rFonts w:hint="eastAsia"/>
              </w:rPr>
              <w:t>根据《建设项目环境影响报告表编制技术指南（污染影响类）》，本项目无需设置专项评价。</w:t>
            </w:r>
          </w:p>
          <w:p>
            <w:pPr>
              <w:ind w:firstLine="0" w:firstLineChars="0"/>
              <w:jc w:val="center"/>
              <w:rPr>
                <w:b/>
                <w:bCs/>
              </w:rPr>
            </w:pPr>
            <w:r>
              <w:rPr>
                <w:rFonts w:hint="eastAsia"/>
                <w:b/>
                <w:bCs/>
              </w:rPr>
              <w:t>专项评价设置原则表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3000"/>
              <w:gridCol w:w="2032"/>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50" w:type="dxa"/>
                  <w:vAlign w:val="center"/>
                </w:tcPr>
                <w:p>
                  <w:pPr>
                    <w:autoSpaceDE w:val="0"/>
                    <w:autoSpaceDN w:val="0"/>
                    <w:adjustRightInd w:val="0"/>
                    <w:spacing w:line="240" w:lineRule="auto"/>
                    <w:ind w:firstLine="0" w:firstLineChars="0"/>
                    <w:jc w:val="center"/>
                    <w:rPr>
                      <w:sz w:val="18"/>
                      <w:szCs w:val="18"/>
                    </w:rPr>
                  </w:pPr>
                  <w:r>
                    <w:rPr>
                      <w:sz w:val="18"/>
                      <w:szCs w:val="18"/>
                    </w:rPr>
                    <w:t>专项评价</w:t>
                  </w:r>
                </w:p>
                <w:p>
                  <w:pPr>
                    <w:autoSpaceDE w:val="0"/>
                    <w:autoSpaceDN w:val="0"/>
                    <w:adjustRightInd w:val="0"/>
                    <w:spacing w:line="240" w:lineRule="auto"/>
                    <w:ind w:firstLine="0" w:firstLineChars="0"/>
                    <w:jc w:val="center"/>
                  </w:pPr>
                  <w:r>
                    <w:rPr>
                      <w:sz w:val="18"/>
                      <w:szCs w:val="18"/>
                    </w:rPr>
                    <w:t>的类别</w:t>
                  </w:r>
                </w:p>
              </w:tc>
              <w:tc>
                <w:tcPr>
                  <w:tcW w:w="2776" w:type="dxa"/>
                  <w:vAlign w:val="center"/>
                </w:tcPr>
                <w:p>
                  <w:pPr>
                    <w:autoSpaceDE w:val="0"/>
                    <w:autoSpaceDN w:val="0"/>
                    <w:adjustRightInd w:val="0"/>
                    <w:spacing w:line="240" w:lineRule="auto"/>
                    <w:ind w:firstLine="0" w:firstLineChars="0"/>
                    <w:jc w:val="center"/>
                  </w:pPr>
                  <w:r>
                    <w:rPr>
                      <w:sz w:val="18"/>
                      <w:szCs w:val="18"/>
                    </w:rPr>
                    <w:t>设置原则</w:t>
                  </w:r>
                </w:p>
              </w:tc>
              <w:tc>
                <w:tcPr>
                  <w:tcW w:w="1880" w:type="dxa"/>
                  <w:vAlign w:val="center"/>
                </w:tcPr>
                <w:p>
                  <w:pPr>
                    <w:autoSpaceDE w:val="0"/>
                    <w:autoSpaceDN w:val="0"/>
                    <w:adjustRightInd w:val="0"/>
                    <w:spacing w:line="240" w:lineRule="auto"/>
                    <w:ind w:firstLine="0" w:firstLineChars="0"/>
                    <w:jc w:val="center"/>
                  </w:pPr>
                  <w:r>
                    <w:rPr>
                      <w:sz w:val="18"/>
                      <w:szCs w:val="18"/>
                    </w:rPr>
                    <w:t>本项目情况</w:t>
                  </w:r>
                </w:p>
              </w:tc>
              <w:tc>
                <w:tcPr>
                  <w:tcW w:w="969" w:type="dxa"/>
                  <w:vAlign w:val="center"/>
                </w:tcPr>
                <w:p>
                  <w:pPr>
                    <w:autoSpaceDE w:val="0"/>
                    <w:autoSpaceDN w:val="0"/>
                    <w:adjustRightInd w:val="0"/>
                    <w:spacing w:line="240" w:lineRule="auto"/>
                    <w:ind w:firstLine="0" w:firstLineChars="0"/>
                    <w:jc w:val="center"/>
                    <w:rPr>
                      <w:sz w:val="18"/>
                      <w:szCs w:val="18"/>
                    </w:rPr>
                  </w:pPr>
                  <w:r>
                    <w:rPr>
                      <w:sz w:val="18"/>
                      <w:szCs w:val="18"/>
                    </w:rPr>
                    <w:t>是否设置</w:t>
                  </w:r>
                </w:p>
                <w:p>
                  <w:pPr>
                    <w:autoSpaceDE w:val="0"/>
                    <w:autoSpaceDN w:val="0"/>
                    <w:adjustRightInd w:val="0"/>
                    <w:spacing w:line="240" w:lineRule="auto"/>
                    <w:ind w:firstLine="0" w:firstLineChars="0"/>
                    <w:jc w:val="center"/>
                  </w:pPr>
                  <w:r>
                    <w:rPr>
                      <w:sz w:val="18"/>
                      <w:szCs w:val="18"/>
                    </w:rPr>
                    <w:t>专项评价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pPr>
                    <w:pStyle w:val="20"/>
                  </w:pPr>
                  <w:r>
                    <w:t>大气</w:t>
                  </w:r>
                </w:p>
              </w:tc>
              <w:tc>
                <w:tcPr>
                  <w:tcW w:w="2776" w:type="dxa"/>
                  <w:vAlign w:val="center"/>
                </w:tcPr>
                <w:p>
                  <w:pPr>
                    <w:pStyle w:val="20"/>
                  </w:pPr>
                  <w:r>
                    <w:t>排放废气含有毒有害污染物</w:t>
                  </w:r>
                  <w:r>
                    <w:rPr>
                      <w:vertAlign w:val="superscript"/>
                    </w:rPr>
                    <w:t>1</w:t>
                  </w:r>
                  <w:r>
                    <w:t>、二噁英、苯并[a]芘、氰化物、氯气且厂界外500米范围内有环境空气保护目标</w:t>
                  </w:r>
                  <w:r>
                    <w:rPr>
                      <w:vertAlign w:val="superscript"/>
                    </w:rPr>
                    <w:t>2</w:t>
                  </w:r>
                  <w:r>
                    <w:t>的建设项目</w:t>
                  </w:r>
                </w:p>
              </w:tc>
              <w:tc>
                <w:tcPr>
                  <w:tcW w:w="1880" w:type="dxa"/>
                  <w:vAlign w:val="center"/>
                </w:tcPr>
                <w:p>
                  <w:pPr>
                    <w:pStyle w:val="20"/>
                  </w:pPr>
                  <w:r>
                    <w:rPr>
                      <w:rFonts w:hint="eastAsia"/>
                    </w:rPr>
                    <w:t>本项目不涉及毒有害污染物、二噁英、苯并[a]芘、氰化物、氯气的排放且500m 范围内无环境空气保护目标，不开展专项评价</w:t>
                  </w:r>
                </w:p>
              </w:tc>
              <w:tc>
                <w:tcPr>
                  <w:tcW w:w="969" w:type="dxa"/>
                  <w:vAlign w:val="center"/>
                </w:tcPr>
                <w:p>
                  <w:pPr>
                    <w:autoSpaceDE w:val="0"/>
                    <w:autoSpaceDN w:val="0"/>
                    <w:adjustRightInd w:val="0"/>
                    <w:spacing w:line="240" w:lineRule="auto"/>
                    <w:ind w:firstLine="0" w:firstLineChars="0"/>
                    <w:jc w:val="cente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pPr>
                    <w:pStyle w:val="20"/>
                  </w:pPr>
                  <w:r>
                    <w:t>地表水</w:t>
                  </w:r>
                </w:p>
              </w:tc>
              <w:tc>
                <w:tcPr>
                  <w:tcW w:w="2776" w:type="dxa"/>
                  <w:vAlign w:val="center"/>
                </w:tcPr>
                <w:p>
                  <w:pPr>
                    <w:pStyle w:val="20"/>
                  </w:pPr>
                  <w:r>
                    <w:t>新增工业废水直排建设项目（槽罐车外送污水处理厂的除外）；新增废水直排的污水集中处理厂</w:t>
                  </w:r>
                </w:p>
              </w:tc>
              <w:tc>
                <w:tcPr>
                  <w:tcW w:w="1880" w:type="dxa"/>
                  <w:vAlign w:val="center"/>
                </w:tcPr>
                <w:p>
                  <w:pPr>
                    <w:pStyle w:val="20"/>
                  </w:pPr>
                  <w:r>
                    <w:rPr>
                      <w:rFonts w:hint="eastAsia"/>
                    </w:rPr>
                    <w:t>本项目废水间接排放，不开展专项评价</w:t>
                  </w:r>
                </w:p>
              </w:tc>
              <w:tc>
                <w:tcPr>
                  <w:tcW w:w="969" w:type="dxa"/>
                  <w:vAlign w:val="center"/>
                </w:tcPr>
                <w:p>
                  <w:pPr>
                    <w:pStyle w:val="20"/>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50" w:type="dxa"/>
                  <w:vAlign w:val="center"/>
                </w:tcPr>
                <w:p>
                  <w:pPr>
                    <w:autoSpaceDE w:val="0"/>
                    <w:autoSpaceDN w:val="0"/>
                    <w:adjustRightInd w:val="0"/>
                    <w:spacing w:line="240" w:lineRule="auto"/>
                    <w:ind w:firstLine="0" w:firstLineChars="0"/>
                    <w:jc w:val="center"/>
                  </w:pPr>
                  <w:r>
                    <w:rPr>
                      <w:sz w:val="18"/>
                      <w:szCs w:val="18"/>
                    </w:rPr>
                    <w:t>环境风险</w:t>
                  </w:r>
                </w:p>
              </w:tc>
              <w:tc>
                <w:tcPr>
                  <w:tcW w:w="2776" w:type="dxa"/>
                  <w:vAlign w:val="center"/>
                </w:tcPr>
                <w:p>
                  <w:pPr>
                    <w:autoSpaceDE w:val="0"/>
                    <w:autoSpaceDN w:val="0"/>
                    <w:adjustRightInd w:val="0"/>
                    <w:spacing w:line="240" w:lineRule="auto"/>
                    <w:ind w:firstLine="0" w:firstLineChars="0"/>
                    <w:jc w:val="center"/>
                  </w:pPr>
                  <w:r>
                    <w:rPr>
                      <w:sz w:val="18"/>
                      <w:szCs w:val="18"/>
                    </w:rPr>
                    <w:t>有毒有害和易燃易爆危险物质存储量超过临界量</w:t>
                  </w:r>
                  <w:r>
                    <w:rPr>
                      <w:sz w:val="18"/>
                      <w:szCs w:val="18"/>
                      <w:vertAlign w:val="superscript"/>
                    </w:rPr>
                    <w:t>3</w:t>
                  </w:r>
                  <w:r>
                    <w:rPr>
                      <w:sz w:val="18"/>
                      <w:szCs w:val="18"/>
                    </w:rPr>
                    <w:t>的建设项目</w:t>
                  </w:r>
                </w:p>
              </w:tc>
              <w:tc>
                <w:tcPr>
                  <w:tcW w:w="1880" w:type="dxa"/>
                  <w:vAlign w:val="center"/>
                </w:tcPr>
                <w:p>
                  <w:pPr>
                    <w:pStyle w:val="20"/>
                  </w:pPr>
                  <w:r>
                    <w:rPr>
                      <w:rFonts w:hint="eastAsia"/>
                    </w:rPr>
                    <w:t>本项目涉及的有毒有害为生产过程产生的危废等，未超过临界量，不涉及易燃易爆危险物质</w:t>
                  </w:r>
                </w:p>
              </w:tc>
              <w:tc>
                <w:tcPr>
                  <w:tcW w:w="969" w:type="dxa"/>
                  <w:vAlign w:val="center"/>
                </w:tcPr>
                <w:p>
                  <w:pPr>
                    <w:autoSpaceDE w:val="0"/>
                    <w:autoSpaceDN w:val="0"/>
                    <w:adjustRightInd w:val="0"/>
                    <w:spacing w:line="240" w:lineRule="auto"/>
                    <w:ind w:firstLine="0" w:firstLineChars="0"/>
                    <w:jc w:val="cente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pPr>
                    <w:autoSpaceDE w:val="0"/>
                    <w:autoSpaceDN w:val="0"/>
                    <w:adjustRightInd w:val="0"/>
                    <w:spacing w:line="240" w:lineRule="auto"/>
                    <w:ind w:firstLine="0" w:firstLineChars="0"/>
                    <w:jc w:val="center"/>
                  </w:pPr>
                  <w:r>
                    <w:rPr>
                      <w:sz w:val="18"/>
                      <w:szCs w:val="18"/>
                    </w:rPr>
                    <w:t>生态</w:t>
                  </w:r>
                </w:p>
              </w:tc>
              <w:tc>
                <w:tcPr>
                  <w:tcW w:w="2776" w:type="dxa"/>
                  <w:vAlign w:val="center"/>
                </w:tcPr>
                <w:p>
                  <w:pPr>
                    <w:autoSpaceDE w:val="0"/>
                    <w:autoSpaceDN w:val="0"/>
                    <w:adjustRightInd w:val="0"/>
                    <w:spacing w:line="240" w:lineRule="auto"/>
                    <w:ind w:firstLine="0" w:firstLineChars="0"/>
                    <w:jc w:val="center"/>
                  </w:pPr>
                  <w:r>
                    <w:rPr>
                      <w:sz w:val="18"/>
                      <w:szCs w:val="18"/>
                    </w:rPr>
                    <w:t>取水口下游500米范围内有重要水生生物的自然产卵场、索饵场、越冬场和洄游通道的新增河道取水的污染类建设项目</w:t>
                  </w:r>
                </w:p>
              </w:tc>
              <w:tc>
                <w:tcPr>
                  <w:tcW w:w="1880" w:type="dxa"/>
                  <w:vAlign w:val="center"/>
                </w:tcPr>
                <w:p>
                  <w:pPr>
                    <w:autoSpaceDE w:val="0"/>
                    <w:autoSpaceDN w:val="0"/>
                    <w:adjustRightInd w:val="0"/>
                    <w:spacing w:line="240" w:lineRule="auto"/>
                    <w:ind w:firstLine="0" w:firstLineChars="0"/>
                    <w:jc w:val="center"/>
                  </w:pPr>
                  <w:r>
                    <w:rPr>
                      <w:rFonts w:hint="eastAsia"/>
                      <w:sz w:val="18"/>
                      <w:szCs w:val="18"/>
                    </w:rPr>
                    <w:t>本项目不涉及，不开展专项评价</w:t>
                  </w:r>
                </w:p>
              </w:tc>
              <w:tc>
                <w:tcPr>
                  <w:tcW w:w="969" w:type="dxa"/>
                  <w:vAlign w:val="center"/>
                </w:tcPr>
                <w:p>
                  <w:pPr>
                    <w:autoSpaceDE w:val="0"/>
                    <w:autoSpaceDN w:val="0"/>
                    <w:adjustRightInd w:val="0"/>
                    <w:spacing w:line="240" w:lineRule="auto"/>
                    <w:ind w:firstLine="0" w:firstLineChars="0"/>
                    <w:jc w:val="cente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0" w:type="dxa"/>
                  <w:vAlign w:val="center"/>
                </w:tcPr>
                <w:p>
                  <w:pPr>
                    <w:autoSpaceDE w:val="0"/>
                    <w:autoSpaceDN w:val="0"/>
                    <w:adjustRightInd w:val="0"/>
                    <w:spacing w:line="240" w:lineRule="auto"/>
                    <w:ind w:firstLine="0" w:firstLineChars="0"/>
                    <w:jc w:val="center"/>
                  </w:pPr>
                  <w:r>
                    <w:rPr>
                      <w:sz w:val="18"/>
                      <w:szCs w:val="18"/>
                    </w:rPr>
                    <w:t>海洋</w:t>
                  </w:r>
                </w:p>
              </w:tc>
              <w:tc>
                <w:tcPr>
                  <w:tcW w:w="2776" w:type="dxa"/>
                  <w:vAlign w:val="center"/>
                </w:tcPr>
                <w:p>
                  <w:pPr>
                    <w:autoSpaceDE w:val="0"/>
                    <w:autoSpaceDN w:val="0"/>
                    <w:adjustRightInd w:val="0"/>
                    <w:spacing w:line="240" w:lineRule="auto"/>
                    <w:ind w:firstLine="0" w:firstLineChars="0"/>
                    <w:jc w:val="center"/>
                  </w:pPr>
                  <w:r>
                    <w:rPr>
                      <w:sz w:val="18"/>
                      <w:szCs w:val="18"/>
                    </w:rPr>
                    <w:t>直接向海洋排放污染物的海洋工程建设项目</w:t>
                  </w:r>
                </w:p>
              </w:tc>
              <w:tc>
                <w:tcPr>
                  <w:tcW w:w="1880" w:type="dxa"/>
                  <w:vAlign w:val="center"/>
                </w:tcPr>
                <w:p>
                  <w:pPr>
                    <w:autoSpaceDE w:val="0"/>
                    <w:autoSpaceDN w:val="0"/>
                    <w:adjustRightInd w:val="0"/>
                    <w:spacing w:line="240" w:lineRule="auto"/>
                    <w:ind w:firstLine="0" w:firstLineChars="0"/>
                    <w:jc w:val="center"/>
                  </w:pPr>
                  <w:r>
                    <w:rPr>
                      <w:sz w:val="18"/>
                      <w:szCs w:val="18"/>
                    </w:rPr>
                    <w:t>本项目非海洋工程建设项目</w:t>
                  </w:r>
                </w:p>
              </w:tc>
              <w:tc>
                <w:tcPr>
                  <w:tcW w:w="969" w:type="dxa"/>
                  <w:vAlign w:val="center"/>
                </w:tcPr>
                <w:p>
                  <w:pPr>
                    <w:autoSpaceDE w:val="0"/>
                    <w:autoSpaceDN w:val="0"/>
                    <w:adjustRightInd w:val="0"/>
                    <w:spacing w:line="240" w:lineRule="auto"/>
                    <w:ind w:firstLine="0" w:firstLineChars="0"/>
                    <w:jc w:val="cente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0"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地下水</w:t>
                  </w:r>
                </w:p>
              </w:tc>
              <w:tc>
                <w:tcPr>
                  <w:tcW w:w="2776"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地下水原则上不开展专项评价，涉及集中式饮用水水源和热水、矿泉水、温泉等特殊地下水资源保护区的开展地下水专项评价工作</w:t>
                  </w:r>
                </w:p>
              </w:tc>
              <w:tc>
                <w:tcPr>
                  <w:tcW w:w="1880"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本项目不涉及集中式饮用水水源和热水、矿泉水、温泉等特殊地下水资源保护区，不开展专项评价</w:t>
                  </w:r>
                </w:p>
              </w:tc>
              <w:tc>
                <w:tcPr>
                  <w:tcW w:w="969" w:type="dxa"/>
                  <w:vAlign w:val="center"/>
                </w:tcPr>
                <w:p>
                  <w:pPr>
                    <w:autoSpaceDE w:val="0"/>
                    <w:autoSpaceDN w:val="0"/>
                    <w:adjustRightInd w:val="0"/>
                    <w:spacing w:line="240" w:lineRule="auto"/>
                    <w:ind w:firstLine="0" w:firstLineChars="0"/>
                    <w:jc w:val="center"/>
                    <w:rPr>
                      <w:sz w:val="18"/>
                      <w:szCs w:val="18"/>
                    </w:rP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0"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土壤、噪声</w:t>
                  </w:r>
                </w:p>
              </w:tc>
              <w:tc>
                <w:tcPr>
                  <w:tcW w:w="2776"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土壤、声环境不开展专项评价</w:t>
                  </w:r>
                </w:p>
              </w:tc>
              <w:tc>
                <w:tcPr>
                  <w:tcW w:w="1880"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本项目土壤、声环境不开展专项评价</w:t>
                  </w:r>
                </w:p>
              </w:tc>
              <w:tc>
                <w:tcPr>
                  <w:tcW w:w="969" w:type="dxa"/>
                  <w:vAlign w:val="center"/>
                </w:tcPr>
                <w:p>
                  <w:pPr>
                    <w:autoSpaceDE w:val="0"/>
                    <w:autoSpaceDN w:val="0"/>
                    <w:adjustRightInd w:val="0"/>
                    <w:spacing w:line="240" w:lineRule="auto"/>
                    <w:ind w:firstLine="0" w:firstLineChars="0"/>
                    <w:jc w:val="center"/>
                    <w:rPr>
                      <w:sz w:val="18"/>
                      <w:szCs w:val="18"/>
                    </w:rPr>
                  </w:pPr>
                  <w:r>
                    <w:rPr>
                      <w:rFonts w:hint="eastAsia"/>
                      <w:sz w:val="18"/>
                      <w:szCs w:val="18"/>
                    </w:rPr>
                    <w:t>否</w:t>
                  </w:r>
                </w:p>
              </w:tc>
            </w:tr>
          </w:tbl>
          <w:p>
            <w:pPr>
              <w:ind w:firstLine="420"/>
              <w:rPr>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1191" w:type="dxa"/>
            <w:tcBorders>
              <w:tl2br w:val="nil"/>
              <w:tr2bl w:val="nil"/>
            </w:tcBorders>
            <w:vAlign w:val="center"/>
          </w:tcPr>
          <w:p>
            <w:pPr>
              <w:pStyle w:val="20"/>
              <w:rPr>
                <w:sz w:val="21"/>
              </w:rPr>
            </w:pPr>
            <w:r>
              <w:rPr>
                <w:rFonts w:hint="eastAsia"/>
                <w:sz w:val="21"/>
              </w:rPr>
              <w:t>规划情况</w:t>
            </w:r>
          </w:p>
        </w:tc>
        <w:tc>
          <w:tcPr>
            <w:tcW w:w="7331" w:type="dxa"/>
            <w:gridSpan w:val="3"/>
            <w:tcBorders>
              <w:tl2br w:val="nil"/>
              <w:tr2bl w:val="nil"/>
            </w:tcBorders>
            <w:vAlign w:val="center"/>
          </w:tcPr>
          <w:p>
            <w:pPr>
              <w:bidi w:val="0"/>
              <w:ind w:left="0" w:leftChars="0" w:firstLine="0" w:firstLineChars="0"/>
              <w:jc w:val="left"/>
            </w:pPr>
            <w:r>
              <w:rPr>
                <w:rFonts w:hint="default"/>
              </w:rPr>
              <w:t>规划文件名称：《海宁经济开发区尖山新区总体规划（2016-2030年）》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pStyle w:val="20"/>
              <w:rPr>
                <w:sz w:val="21"/>
              </w:rPr>
            </w:pPr>
            <w:r>
              <w:rPr>
                <w:rFonts w:hint="eastAsia"/>
                <w:sz w:val="21"/>
              </w:rPr>
              <w:t>规划环境影响评价情况</w:t>
            </w:r>
          </w:p>
        </w:tc>
        <w:tc>
          <w:tcPr>
            <w:tcW w:w="7331" w:type="dxa"/>
            <w:gridSpan w:val="3"/>
            <w:tcBorders>
              <w:tl2br w:val="nil"/>
              <w:tr2bl w:val="nil"/>
            </w:tcBorders>
            <w:vAlign w:val="center"/>
          </w:tcPr>
          <w:p>
            <w:pPr>
              <w:bidi w:val="0"/>
              <w:ind w:left="0" w:leftChars="0" w:firstLine="0" w:firstLineChars="0"/>
              <w:jc w:val="left"/>
              <w:rPr>
                <w:rFonts w:hint="eastAsia"/>
                <w:lang w:val="en-US" w:eastAsia="zh-CN"/>
              </w:rPr>
            </w:pPr>
            <w:r>
              <w:rPr>
                <w:rFonts w:hint="eastAsia"/>
                <w:lang w:val="en-US" w:eastAsia="zh-CN"/>
              </w:rPr>
              <w:t>规划环境影响评价文件名称：《海宁经济开发区尖山新区总体规划（2016-2030年）环境影响报告书》、《海宁经济开发区尖山新区总体规划（2016-2030 年）环境影响报告书“六张清单”修订稿》</w:t>
            </w:r>
          </w:p>
          <w:p>
            <w:pPr>
              <w:bidi w:val="0"/>
              <w:ind w:left="0" w:leftChars="0" w:firstLine="0" w:firstLineChars="0"/>
              <w:jc w:val="left"/>
              <w:rPr>
                <w:rFonts w:hint="eastAsia"/>
                <w:lang w:val="en-US" w:eastAsia="zh-CN"/>
              </w:rPr>
            </w:pPr>
            <w:r>
              <w:rPr>
                <w:rFonts w:hint="eastAsia"/>
                <w:lang w:val="en-US" w:eastAsia="zh-CN"/>
              </w:rPr>
              <w:t>召集审查机关：浙江省生态环境厅；</w:t>
            </w:r>
          </w:p>
          <w:p>
            <w:pPr>
              <w:bidi w:val="0"/>
              <w:ind w:left="0" w:leftChars="0" w:firstLine="0" w:firstLineChars="0"/>
              <w:jc w:val="left"/>
              <w:rPr>
                <w:rFonts w:hint="eastAsia"/>
                <w:lang w:val="en-US" w:eastAsia="zh-CN"/>
              </w:rPr>
            </w:pPr>
            <w:r>
              <w:rPr>
                <w:rFonts w:hint="eastAsia"/>
                <w:lang w:val="en-US" w:eastAsia="zh-CN"/>
              </w:rPr>
              <w:t>审查文件名称：《海宁经济开发区尖山新区总体规划（2016-2030年）环境影响报告书的审查意见》；</w:t>
            </w:r>
          </w:p>
          <w:p>
            <w:pPr>
              <w:bidi w:val="0"/>
              <w:ind w:left="0" w:leftChars="0" w:firstLine="0" w:firstLineChars="0"/>
              <w:jc w:val="left"/>
              <w:rPr>
                <w:rFonts w:hint="eastAsia" w:eastAsia="宋体"/>
                <w:lang w:eastAsia="zh-CN"/>
              </w:rPr>
            </w:pPr>
            <w:r>
              <w:rPr>
                <w:rFonts w:hint="eastAsia"/>
                <w:lang w:val="en-US" w:eastAsia="zh-CN"/>
              </w:rPr>
              <w:t>审查文号：浙环函[2019]132号。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1" w:type="dxa"/>
            <w:tcBorders>
              <w:tl2br w:val="nil"/>
              <w:tr2bl w:val="nil"/>
            </w:tcBorders>
            <w:vAlign w:val="center"/>
          </w:tcPr>
          <w:p>
            <w:pPr>
              <w:pStyle w:val="20"/>
              <w:rPr>
                <w:sz w:val="21"/>
              </w:rPr>
            </w:pPr>
            <w:r>
              <w:rPr>
                <w:rFonts w:hint="eastAsia"/>
                <w:sz w:val="21"/>
              </w:rPr>
              <w:t>规划及规划环境影响评价符合性分析</w:t>
            </w:r>
          </w:p>
        </w:tc>
        <w:tc>
          <w:tcPr>
            <w:tcW w:w="7331" w:type="dxa"/>
            <w:gridSpan w:val="3"/>
            <w:tcBorders>
              <w:tl2br w:val="nil"/>
              <w:tr2bl w:val="nil"/>
            </w:tcBorders>
            <w:vAlign w:val="center"/>
          </w:tcPr>
          <w:p>
            <w:pPr>
              <w:pStyle w:val="5"/>
              <w:bidi w:val="0"/>
              <w:rPr>
                <w:rFonts w:hint="eastAsia"/>
                <w:lang w:val="en-US" w:eastAsia="zh-CN"/>
              </w:rPr>
            </w:pPr>
            <w:r>
              <w:rPr>
                <w:rFonts w:hint="eastAsia"/>
                <w:lang w:val="en-US" w:eastAsia="zh-CN"/>
              </w:rPr>
              <w:t>1.1《海宁经济开发区尖山新区总体规划（2016-2030年）》符合性分析</w:t>
            </w:r>
          </w:p>
          <w:p>
            <w:pPr>
              <w:ind w:firstLine="420" w:firstLineChars="200"/>
              <w:jc w:val="left"/>
              <w:rPr>
                <w:rFonts w:hint="eastAsia"/>
                <w:lang w:val="en-US" w:eastAsia="zh-CN"/>
              </w:rPr>
            </w:pPr>
            <w:r>
              <w:rPr>
                <w:rFonts w:hint="eastAsia"/>
                <w:lang w:val="en-US" w:eastAsia="zh-CN"/>
              </w:rPr>
              <w:t>根据《海宁经济开发区尖山新区总体规划（2016-2030年）》，本项目与规划符合性分析如下：</w:t>
            </w:r>
          </w:p>
          <w:p>
            <w:pPr>
              <w:ind w:firstLine="420" w:firstLineChars="200"/>
              <w:jc w:val="left"/>
              <w:rPr>
                <w:rFonts w:hint="eastAsia"/>
                <w:lang w:val="en-US" w:eastAsia="zh-CN"/>
              </w:rPr>
            </w:pPr>
            <w:r>
              <w:rPr>
                <w:rFonts w:hint="eastAsia"/>
                <w:lang w:val="en-US" w:eastAsia="zh-CN"/>
              </w:rPr>
              <w:t>(1)规划性质和目标</w:t>
            </w:r>
          </w:p>
          <w:p>
            <w:pPr>
              <w:ind w:firstLine="420" w:firstLineChars="200"/>
              <w:jc w:val="left"/>
              <w:rPr>
                <w:rFonts w:hint="eastAsia"/>
                <w:lang w:val="en-US" w:eastAsia="zh-CN"/>
              </w:rPr>
            </w:pPr>
            <w:r>
              <w:rPr>
                <w:rFonts w:hint="eastAsia"/>
                <w:lang w:val="en-US" w:eastAsia="zh-CN"/>
              </w:rPr>
              <w:t>为了促进整合提升后的海宁经济开发区尖山新区的可持续协调发展，同时结合海宁市环保管理部门管理需要，由浙江省海宁经济开发区管理委员会组织，海宁市尖山新区管理委员会(海宁经济开发区尖山新区的属地管辖单位)协助，编制了《海宁经济开发区尖山新区总体规划(2016-2030年)》，根据规划，尖山新区性质定位：海宁城市副中心和钱江门户，总部商务基地，以新兴制造业为主导、兼具休闲旅游功能的生态型滨江新城。</w:t>
            </w:r>
          </w:p>
          <w:p>
            <w:pPr>
              <w:ind w:firstLine="420" w:firstLineChars="200"/>
              <w:jc w:val="left"/>
              <w:rPr>
                <w:rFonts w:hint="eastAsia"/>
                <w:lang w:val="en-US" w:eastAsia="zh-CN"/>
              </w:rPr>
            </w:pPr>
            <w:r>
              <w:rPr>
                <w:rFonts w:hint="eastAsia"/>
                <w:lang w:val="en-US" w:eastAsia="zh-CN"/>
              </w:rPr>
              <w:t>(2)产业导向</w:t>
            </w:r>
          </w:p>
          <w:p>
            <w:pPr>
              <w:ind w:firstLine="420" w:firstLineChars="200"/>
              <w:jc w:val="left"/>
              <w:rPr>
                <w:rFonts w:hint="eastAsia"/>
                <w:lang w:val="en-US" w:eastAsia="zh-CN"/>
              </w:rPr>
            </w:pPr>
            <w:r>
              <w:rPr>
                <w:rFonts w:hint="eastAsia"/>
                <w:lang w:val="en-US" w:eastAsia="zh-CN"/>
              </w:rPr>
              <w:t>规划重点发展三种产业经济：①先进制造业经济；②现代服务经济，包括高品质的商贸服务、环境优先型房地产业、完善的生产性服务业等；③特色鲜明的旅游休闲经济，包括商务休闲经济、运动休闲经济、旅游度假经济等。规划工业区将逐步建设成以“汽车及关键零部件、新能源利用(风能、太阳能)、机械装备(特种设备)、新材料”等先进制造业为主导的产业。</w:t>
            </w:r>
          </w:p>
          <w:p>
            <w:pPr>
              <w:ind w:firstLine="420" w:firstLineChars="200"/>
              <w:jc w:val="left"/>
              <w:rPr>
                <w:rFonts w:hint="eastAsia"/>
                <w:lang w:val="en-US" w:eastAsia="zh-CN"/>
              </w:rPr>
            </w:pPr>
            <w:r>
              <w:rPr>
                <w:rFonts w:hint="eastAsia"/>
                <w:lang w:val="en-US" w:eastAsia="zh-CN"/>
              </w:rPr>
              <w:t>(3)规模</w:t>
            </w:r>
          </w:p>
          <w:p>
            <w:pPr>
              <w:ind w:firstLine="420" w:firstLineChars="200"/>
              <w:jc w:val="left"/>
              <w:rPr>
                <w:rFonts w:hint="eastAsia"/>
                <w:lang w:val="en-US" w:eastAsia="zh-CN"/>
              </w:rPr>
            </w:pPr>
            <w:r>
              <w:rPr>
                <w:rFonts w:hint="eastAsia"/>
                <w:lang w:val="en-US" w:eastAsia="zh-CN"/>
              </w:rPr>
              <w:t>规划到2016年底，尖山新区城市建设用地1588.5公顷，人口规模34789人，其中居住人口约5000人。规划到2030年，城市建设用地面积为3334.8公顷，人口规模为12万人，其中第二产业关联人口为6.0~7.5万人，生产型服务业3.0~5.0万人，城市居民约1.5-2.0万人。</w:t>
            </w:r>
          </w:p>
          <w:p>
            <w:pPr>
              <w:ind w:firstLine="420" w:firstLineChars="200"/>
              <w:jc w:val="left"/>
              <w:rPr>
                <w:rFonts w:hint="eastAsia"/>
                <w:lang w:val="en-US" w:eastAsia="zh-CN"/>
              </w:rPr>
            </w:pPr>
            <w:r>
              <w:rPr>
                <w:rFonts w:hint="eastAsia"/>
                <w:lang w:val="en-US" w:eastAsia="zh-CN"/>
              </w:rPr>
              <w:t>(4)总体功能结构</w:t>
            </w:r>
          </w:p>
          <w:p>
            <w:pPr>
              <w:ind w:firstLine="420" w:firstLineChars="200"/>
              <w:jc w:val="left"/>
              <w:rPr>
                <w:rFonts w:hint="eastAsia"/>
                <w:lang w:val="en-US" w:eastAsia="zh-CN"/>
              </w:rPr>
            </w:pPr>
            <w:r>
              <w:rPr>
                <w:rFonts w:hint="eastAsia"/>
                <w:lang w:val="en-US" w:eastAsia="zh-CN"/>
              </w:rPr>
              <w:t>规划形成“一心两轴四片区”的功能结构。“一心”：公共服务中心，重点发展商贸商务服务业、文化娱乐、生态休闲等功能，承担新城主要的现代服务业功能，起到组织核心的作用；“两轴”：杭州湾大道发展轴、新城路发展轴；“四片区”：生态休闲片区、居住生活片区、总部基地片区和产业功能片区。</w:t>
            </w:r>
          </w:p>
          <w:p>
            <w:pPr>
              <w:ind w:firstLine="420" w:firstLineChars="200"/>
              <w:jc w:val="left"/>
              <w:rPr>
                <w:rFonts w:hint="eastAsia"/>
                <w:lang w:val="en-US" w:eastAsia="zh-CN"/>
              </w:rPr>
            </w:pPr>
            <w:r>
              <w:rPr>
                <w:rFonts w:hint="eastAsia"/>
                <w:lang w:val="en-US" w:eastAsia="zh-CN"/>
              </w:rPr>
              <w:t>(5)工业用地规划</w:t>
            </w:r>
          </w:p>
          <w:p>
            <w:pPr>
              <w:ind w:firstLine="420" w:firstLineChars="200"/>
              <w:jc w:val="left"/>
              <w:rPr>
                <w:rFonts w:hint="eastAsia"/>
                <w:lang w:val="en-US" w:eastAsia="zh-CN"/>
              </w:rPr>
            </w:pPr>
            <w:r>
              <w:rPr>
                <w:rFonts w:hint="eastAsia"/>
                <w:lang w:val="en-US" w:eastAsia="zh-CN"/>
              </w:rPr>
              <w:t>规划工业用地1086hm</w:t>
            </w:r>
            <w:r>
              <w:rPr>
                <w:rFonts w:hint="eastAsia"/>
                <w:vertAlign w:val="superscript"/>
                <w:lang w:val="en-US" w:eastAsia="zh-CN"/>
              </w:rPr>
              <w:t>2</w:t>
            </w:r>
            <w:r>
              <w:rPr>
                <w:rFonts w:hint="eastAsia"/>
                <w:lang w:val="en-US" w:eastAsia="zh-CN"/>
              </w:rPr>
              <w:t>，总体上分成两大产业片区：①东部工业片区：位于六平申线以东。以杭州湾大道为界，又可分为北组团和南组团两个工业组团，北组团将以沙发等皮革家具生产为主，南组团将结合海宁优势产业，发展无污染和轻污染制造业；②南部工业片区：六平申河以西、杭州湾大道-芙蓉河以南、嘉绍高速公路以东区域为南部工业片区，主要依托已有的制造业基础，特别是势头良好的外向型经济，努力发展光电产业、汽车及配件、新能源、新材料、机械制造等产业，提升整体综合竞争力。</w:t>
            </w:r>
          </w:p>
          <w:p>
            <w:pPr>
              <w:ind w:firstLine="420" w:firstLineChars="200"/>
              <w:jc w:val="left"/>
              <w:rPr>
                <w:rFonts w:hint="eastAsia"/>
                <w:lang w:val="en-US" w:eastAsia="zh-CN"/>
              </w:rPr>
            </w:pPr>
            <w:r>
              <w:rPr>
                <w:rFonts w:hint="eastAsia"/>
                <w:lang w:val="en-US" w:eastAsia="zh-CN"/>
              </w:rPr>
              <w:t>符合性分析：本项目属于利用企业现有空余厂房，开展储能系统的组装与生产，符合该片区产业主导方向（新能源利用），符合《海宁经济开发区尖山新区总体规划（2016-2030年）》相关要求。</w:t>
            </w:r>
          </w:p>
          <w:p>
            <w:pPr>
              <w:pStyle w:val="5"/>
              <w:bidi w:val="0"/>
              <w:rPr>
                <w:rFonts w:hint="eastAsia"/>
                <w:lang w:val="en-US" w:eastAsia="zh-CN"/>
              </w:rPr>
            </w:pPr>
            <w:r>
              <w:rPr>
                <w:rFonts w:hint="eastAsia"/>
                <w:lang w:val="en-US" w:eastAsia="zh-CN"/>
              </w:rPr>
              <w:t>1.2、《海宁经济开发区尖山新区总体规划（2016-2030年）环境影响报告书》符合性分析</w:t>
            </w:r>
          </w:p>
          <w:p>
            <w:pPr>
              <w:ind w:firstLine="420" w:firstLineChars="200"/>
              <w:jc w:val="left"/>
              <w:rPr>
                <w:rFonts w:hint="eastAsia"/>
                <w:lang w:val="en-US" w:eastAsia="zh-CN"/>
              </w:rPr>
            </w:pPr>
            <w:r>
              <w:rPr>
                <w:rFonts w:hint="eastAsia"/>
                <w:lang w:val="en-US" w:eastAsia="zh-CN"/>
              </w:rPr>
              <w:t>《海宁经济开发区尖山新区总体规划（2016~2030）环境影响报告书》已于2019年4月25日通过审查，浙江省生态环境厅出具了《海宁经济开发区尖山新区总体规划（2016-2030年）环境影响报告书的审查意见》，审查号为：浙环函[2019]132号。另外，目前海宁经济开发区尖山新区总体规划环境影响报告书6张清单已根据《海宁市生态环境分区管控动态更新方案》（海政发〔2020〕40号）文件要求作出了补充修订。根据规划环评、环保审查意见及报告书6张清单的补充修订稿。</w:t>
            </w:r>
          </w:p>
          <w:p>
            <w:pPr>
              <w:pStyle w:val="6"/>
              <w:bidi w:val="0"/>
              <w:rPr>
                <w:rFonts w:hint="eastAsia"/>
                <w:lang w:val="en-US" w:eastAsia="zh-CN"/>
              </w:rPr>
            </w:pPr>
            <w:r>
              <w:rPr>
                <w:rFonts w:hint="eastAsia"/>
                <w:lang w:val="en-US" w:eastAsia="zh-CN"/>
              </w:rPr>
              <w:t>1.2.1、生态空间管控清单符合性</w:t>
            </w:r>
          </w:p>
          <w:p>
            <w:pPr>
              <w:ind w:firstLine="420" w:firstLineChars="200"/>
              <w:jc w:val="left"/>
              <w:rPr>
                <w:rFonts w:hint="eastAsia"/>
                <w:lang w:val="en-US" w:eastAsia="zh-CN"/>
              </w:rPr>
            </w:pPr>
            <w:r>
              <w:rPr>
                <w:rFonts w:hint="eastAsia"/>
                <w:lang w:val="en-US" w:eastAsia="zh-CN"/>
              </w:rPr>
              <w:t>项目位于产业集聚重点管控单元—浙江省嘉兴市海宁市黄湾镇产业集聚重点管控单元（尖山新区）ZH33048120003。浙江省嘉兴市海宁市黄湾镇产业集聚重点管控单元的管控措施及与项目的符合性见下表。</w:t>
            </w:r>
          </w:p>
          <w:p>
            <w:pPr>
              <w:ind w:firstLine="0" w:firstLineChars="0"/>
              <w:jc w:val="center"/>
              <w:rPr>
                <w:rFonts w:hint="eastAsia"/>
                <w:b/>
                <w:bCs/>
                <w:lang w:val="en-US" w:eastAsia="zh-CN"/>
              </w:rPr>
            </w:pPr>
            <w:r>
              <w:rPr>
                <w:rFonts w:hint="eastAsia"/>
                <w:b/>
                <w:bCs/>
                <w:lang w:val="en-US" w:eastAsia="zh-CN"/>
              </w:rPr>
              <w:t>表1.2-1  尖山新区生态空间清单及符合性分析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849"/>
              <w:gridCol w:w="863"/>
              <w:gridCol w:w="2854"/>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区内的规划区块</w:t>
                  </w:r>
                </w:p>
              </w:tc>
              <w:tc>
                <w:tcPr>
                  <w:tcW w:w="7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生态空间名称及编号</w:t>
                  </w:r>
                </w:p>
              </w:tc>
              <w:tc>
                <w:tcPr>
                  <w:tcW w:w="7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生态空间范围示意图</w:t>
                  </w:r>
                </w:p>
              </w:tc>
              <w:tc>
                <w:tcPr>
                  <w:tcW w:w="25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管控措施</w:t>
                  </w:r>
                </w:p>
              </w:tc>
              <w:tc>
                <w:tcPr>
                  <w:tcW w:w="18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产业集聚重点管控单元</w:t>
                  </w:r>
                </w:p>
              </w:tc>
              <w:tc>
                <w:tcPr>
                  <w:tcW w:w="7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浙江省嘉兴市海宁市黄湾镇产业集聚重点管控单元（尖山新区）ZH33048120003</w:t>
                  </w:r>
                </w:p>
              </w:tc>
              <w:tc>
                <w:tcPr>
                  <w:tcW w:w="7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四至范围：东至规划东侧边界，南至钱塘江堤岸内侧200米，西至钱塘江堤岸内侧200米，北至杭州湾大道和北侧边界</w:t>
                  </w:r>
                </w:p>
              </w:tc>
              <w:tc>
                <w:tcPr>
                  <w:tcW w:w="25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空间布局约束</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1、优化产业布局和结构，实施分区差别化的产业准入条件。</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2、合理规划布局三类工业项目，控制三类工业项目布局范围和总体规模，鼓励对现有三类工业项目进行淘汰和提升改造。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禁止新增钢铁、铸造、水泥和平板玻璃等行业产能，严格执行相关污染物排放量削减替代管理要求和产能置换实施办法；提高电力、化工、印染、造纸、化纤等重点行业环保准入门槛，控制新增污染物排放量。</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4、严格限制新、扩建医药、印染、化纤、合成革、工业涂装、包装印刷、塑料和橡胶等涉VOCs重污染项目，新建涉VOCs排放的工业企业全部进入工业功能区，严格执行相关污染物排放量削减替代管理要求。</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5、所有改、扩建耗煤项目，严格执行相关新增燃煤和污染物排放减量替代管理要求，且排污强度、能效和碳排放水平必须达到国内先进水平。</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6、合理规划居住区与工业功能区，在居住区和工业区、工业企业之间设置防护绿地、生态绿地等隔离带。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环境风险防控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1、定期评估沿江河湖库工业企业、工业集聚区环境和健康风险。</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2、强化工业集聚区企业环境风险防范设施设备建设和正常运行监管，加强重点环境风险管控企业应急预案制定，建立常态化的企业隐患排查整治监管机制，加强风险防控体系建设。</w:t>
                  </w:r>
                </w:p>
              </w:tc>
              <w:tc>
                <w:tcPr>
                  <w:tcW w:w="18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空间布局约束</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1、项目已经通过经信局备案，符合园区产业准入条件。</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2、本项目依托现有生产车间进行组装生产，不新增用地，且对模组组装流程进行了工艺优化提升。</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3、本项目不属于钢铁、铸造、水泥和平板玻璃等行业，新增污染物要求执行削减替代，且本项目不属于不属于重点行业，新增污染物排放量较少。</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4、本项目不属于医药、印染、化纤、合成革、工业涂装、包装印刷、塑料和橡等涉VOCs重污染项目。</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5、项目能耗主要以电为主，不涉及燃煤使用。</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6、本项目周边以工业企业为主。</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环境风险防控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1、企业按规范设置了1个900m</w:t>
                  </w:r>
                  <w:r>
                    <w:rPr>
                      <w:rFonts w:hint="eastAsia"/>
                      <w:sz w:val="18"/>
                      <w:szCs w:val="18"/>
                      <w:vertAlign w:val="superscript"/>
                      <w:lang w:val="en-US" w:eastAsia="zh-CN"/>
                    </w:rPr>
                    <w:t>3</w:t>
                  </w:r>
                  <w:r>
                    <w:rPr>
                      <w:rFonts w:hint="eastAsia"/>
                      <w:sz w:val="18"/>
                      <w:szCs w:val="18"/>
                      <w:vertAlign w:val="baseline"/>
                      <w:lang w:val="en-US" w:eastAsia="zh-CN"/>
                    </w:rPr>
                    <w:t>的初期雨水收集池（兼事故应急池），雨污水排放口设置截止阀。定期评估环境和健康风险。</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2、项目投产前拟编制企业应急预案，建立企业隐患排查整治监管机制，加强风险防控体系建设。</w:t>
                  </w:r>
                </w:p>
              </w:tc>
            </w:tr>
          </w:tbl>
          <w:p>
            <w:pPr>
              <w:bidi w:val="0"/>
              <w:rPr>
                <w:rFonts w:hint="eastAsia"/>
                <w:lang w:val="en-US" w:eastAsia="zh-CN"/>
              </w:rPr>
            </w:pPr>
            <w:r>
              <w:rPr>
                <w:rFonts w:hint="eastAsia"/>
                <w:lang w:val="en-US" w:eastAsia="zh-CN"/>
              </w:rPr>
              <w:t>项目的建设符合规划环评中的生态空间管控清单。</w:t>
            </w:r>
          </w:p>
          <w:p>
            <w:pPr>
              <w:pStyle w:val="6"/>
              <w:bidi w:val="0"/>
              <w:rPr>
                <w:rFonts w:hint="eastAsia"/>
                <w:lang w:val="en-US" w:eastAsia="zh-CN"/>
              </w:rPr>
            </w:pPr>
            <w:r>
              <w:rPr>
                <w:rFonts w:hint="eastAsia"/>
                <w:lang w:val="en-US" w:eastAsia="zh-CN"/>
              </w:rPr>
              <w:t>1.2.2优化调整建议清单符合性</w:t>
            </w:r>
          </w:p>
          <w:p>
            <w:pPr>
              <w:bidi w:val="0"/>
              <w:ind w:left="0" w:leftChars="0" w:firstLine="0" w:firstLineChars="0"/>
              <w:jc w:val="center"/>
              <w:rPr>
                <w:rFonts w:hint="eastAsia"/>
                <w:b/>
                <w:bCs/>
                <w:lang w:val="en-US" w:eastAsia="zh-CN"/>
              </w:rPr>
            </w:pPr>
            <w:r>
              <w:rPr>
                <w:rFonts w:hint="eastAsia"/>
                <w:b/>
                <w:bCs/>
                <w:lang w:val="en-US" w:eastAsia="zh-CN"/>
              </w:rPr>
              <w:t>表1.2-2  尖山新区规划优化调整建议清单及符合性分析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3603"/>
              <w:gridCol w:w="1310"/>
              <w:gridCol w:w="1266"/>
              <w:gridCol w:w="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优化调</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整类型</w:t>
                  </w:r>
                </w:p>
              </w:tc>
              <w:tc>
                <w:tcPr>
                  <w:tcW w:w="360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规划内容</w:t>
                  </w:r>
                </w:p>
              </w:tc>
              <w:tc>
                <w:tcPr>
                  <w:tcW w:w="131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调整建议</w:t>
                  </w:r>
                </w:p>
              </w:tc>
              <w:tc>
                <w:tcPr>
                  <w:tcW w:w="126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项目情况</w:t>
                  </w:r>
                </w:p>
              </w:tc>
              <w:tc>
                <w:tcPr>
                  <w:tcW w:w="4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产业布</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局</w:t>
                  </w:r>
                </w:p>
              </w:tc>
              <w:tc>
                <w:tcPr>
                  <w:tcW w:w="360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东部工业片区北组团将以沙发等皮革家具生产为主，南组团发展无污染和轻污染制造业；南部工业片区主要依托已有的制造业基础，努力发展光电产业、汽车及配件、新能源、新材料、机械制造等产业，其中园区提倡的新材料主要包括以聚酯、化纤、复合等为主的新材料行业；新能源主要涉及太阳能、风能两类。</w:t>
                  </w:r>
                </w:p>
              </w:tc>
              <w:tc>
                <w:tcPr>
                  <w:tcW w:w="131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建议东部工业片区北组团调整为以光伏产业为主，发展无污染和轻污染制造业；</w:t>
                  </w:r>
                </w:p>
              </w:tc>
              <w:tc>
                <w:tcPr>
                  <w:tcW w:w="126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本项目属于光伏产业储能设施制造，污染物产生较少，属于轻污染制造业。</w:t>
                  </w:r>
                </w:p>
              </w:tc>
              <w:tc>
                <w:tcPr>
                  <w:tcW w:w="4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bl>
          <w:p>
            <w:pPr>
              <w:bidi w:val="0"/>
              <w:rPr>
                <w:rFonts w:hint="eastAsia"/>
                <w:lang w:val="en-US" w:eastAsia="zh-CN"/>
              </w:rPr>
            </w:pPr>
            <w:r>
              <w:rPr>
                <w:rFonts w:hint="eastAsia"/>
                <w:lang w:val="en-US" w:eastAsia="zh-CN"/>
              </w:rPr>
              <w:t>项目符合优化调整建议清单要求。</w:t>
            </w:r>
          </w:p>
          <w:p>
            <w:pPr>
              <w:pStyle w:val="6"/>
              <w:bidi w:val="0"/>
              <w:rPr>
                <w:rFonts w:hint="eastAsia"/>
                <w:lang w:val="en-US" w:eastAsia="zh-CN"/>
              </w:rPr>
            </w:pPr>
            <w:r>
              <w:rPr>
                <w:rFonts w:hint="eastAsia"/>
                <w:lang w:val="en-US" w:eastAsia="zh-CN"/>
              </w:rPr>
              <w:t>1.2.3污染物排放总量管控限值清单</w:t>
            </w:r>
          </w:p>
          <w:p>
            <w:pPr>
              <w:bidi w:val="0"/>
              <w:ind w:left="0" w:leftChars="0" w:firstLine="0" w:firstLineChars="0"/>
              <w:jc w:val="center"/>
              <w:rPr>
                <w:rFonts w:hint="eastAsia"/>
                <w:b/>
                <w:bCs/>
                <w:lang w:val="en-US" w:eastAsia="zh-CN"/>
              </w:rPr>
            </w:pPr>
            <w:r>
              <w:rPr>
                <w:rFonts w:hint="eastAsia"/>
                <w:b/>
                <w:bCs/>
                <w:lang w:val="en-US" w:eastAsia="zh-CN"/>
              </w:rPr>
              <w:t>表1.2-3 尖山新区污染物排放总量管控限值清单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922"/>
              <w:gridCol w:w="1446"/>
              <w:gridCol w:w="1468"/>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gridSpan w:val="3"/>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规划期</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规划（2030年）</w:t>
                  </w:r>
                </w:p>
              </w:tc>
              <w:tc>
                <w:tcPr>
                  <w:tcW w:w="20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gridSpan w:val="3"/>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总量（t/a）</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水污染物总量管控限值</w:t>
                  </w: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300.084</w:t>
                  </w:r>
                </w:p>
              </w:tc>
              <w:tc>
                <w:tcPr>
                  <w:tcW w:w="20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本项目仅排放少量VOCs以及生活污水产生的COD、氨氮，经区域削减平衡后不会突破区域总量管控限值，符合要求。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299.658</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0.426</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NH</w:t>
                  </w:r>
                  <w:r>
                    <w:rPr>
                      <w:rFonts w:hint="eastAsia"/>
                      <w:sz w:val="18"/>
                      <w:szCs w:val="18"/>
                      <w:vertAlign w:val="subscript"/>
                      <w:lang w:val="en-US" w:eastAsia="zh-CN"/>
                    </w:rPr>
                    <w:t>3</w:t>
                  </w:r>
                  <w:r>
                    <w:rPr>
                      <w:rFonts w:hint="eastAsia"/>
                      <w:sz w:val="18"/>
                      <w:szCs w:val="18"/>
                      <w:vertAlign w:val="baseline"/>
                      <w:lang w:val="en-US" w:eastAsia="zh-CN"/>
                    </w:rPr>
                    <w:t>-N</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75.726</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29.966</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45.761</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TP</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10.465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2.997</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7.469</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大气污染物总量管控限值</w:t>
                  </w: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subscript"/>
                      <w:lang w:val="en-US" w:eastAsia="zh-CN"/>
                    </w:rPr>
                  </w:pPr>
                  <w:r>
                    <w:rPr>
                      <w:rFonts w:hint="eastAsia"/>
                      <w:sz w:val="18"/>
                      <w:szCs w:val="18"/>
                      <w:vertAlign w:val="baseline"/>
                      <w:lang w:val="en-US" w:eastAsia="zh-CN"/>
                    </w:rPr>
                    <w:t>SO</w:t>
                  </w:r>
                  <w:r>
                    <w:rPr>
                      <w:rFonts w:hint="eastAsia"/>
                      <w:sz w:val="18"/>
                      <w:szCs w:val="18"/>
                      <w:vertAlign w:val="subscript"/>
                      <w:lang w:val="en-US" w:eastAsia="zh-CN"/>
                    </w:rPr>
                    <w:t>2</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276.737</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378.987</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-102.25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NOx</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477.265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612.06</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-134.795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烟粉尘</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577.805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460.331</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117.474</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VOCs</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1759.595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1212.280</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92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547.315</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危险废物管控总量限值</w:t>
                  </w: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现状排放量</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37516.789</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总量管控限值</w:t>
                  </w:r>
                </w:p>
              </w:tc>
              <w:tc>
                <w:tcPr>
                  <w:tcW w:w="14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81100</w:t>
                  </w:r>
                </w:p>
              </w:tc>
              <w:tc>
                <w:tcPr>
                  <w:tcW w:w="20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削减量</w:t>
                  </w:r>
                </w:p>
              </w:tc>
              <w:tc>
                <w:tcPr>
                  <w:tcW w:w="1468" w:type="dxa"/>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w:t>
                  </w:r>
                </w:p>
              </w:tc>
              <w:tc>
                <w:tcPr>
                  <w:tcW w:w="2091"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bl>
          <w:p>
            <w:pPr>
              <w:pStyle w:val="6"/>
              <w:bidi w:val="0"/>
              <w:rPr>
                <w:rFonts w:hint="eastAsia"/>
                <w:lang w:val="en-US" w:eastAsia="zh-CN"/>
              </w:rPr>
            </w:pPr>
          </w:p>
          <w:p>
            <w:pPr>
              <w:pStyle w:val="6"/>
              <w:bidi w:val="0"/>
              <w:rPr>
                <w:rFonts w:hint="eastAsia"/>
                <w:lang w:val="en-US" w:eastAsia="zh-CN"/>
              </w:rPr>
            </w:pPr>
            <w:r>
              <w:rPr>
                <w:rFonts w:hint="eastAsia"/>
                <w:lang w:val="en-US" w:eastAsia="zh-CN"/>
              </w:rPr>
              <w:t>1.2.4环境准入条件清单</w:t>
            </w:r>
          </w:p>
          <w:p>
            <w:pPr>
              <w:bidi w:val="0"/>
              <w:ind w:left="0" w:leftChars="0" w:firstLine="0" w:firstLineChars="0"/>
              <w:jc w:val="center"/>
              <w:rPr>
                <w:rFonts w:hint="eastAsia"/>
                <w:b/>
                <w:bCs/>
                <w:lang w:val="en-US" w:eastAsia="zh-CN"/>
              </w:rPr>
            </w:pPr>
            <w:r>
              <w:rPr>
                <w:rFonts w:hint="eastAsia"/>
                <w:b/>
                <w:bCs/>
                <w:lang w:val="en-US" w:eastAsia="zh-CN"/>
              </w:rPr>
              <w:t>表1.2-4  环境准入条件清单符合性分析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536"/>
              <w:gridCol w:w="686"/>
              <w:gridCol w:w="2548"/>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区域</w:t>
                  </w:r>
                </w:p>
              </w:tc>
              <w:tc>
                <w:tcPr>
                  <w:tcW w:w="6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分类</w:t>
                  </w:r>
                </w:p>
              </w:tc>
              <w:tc>
                <w:tcPr>
                  <w:tcW w:w="25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行业清单/工艺清单/产品清单</w:t>
                  </w:r>
                </w:p>
              </w:tc>
              <w:tc>
                <w:tcPr>
                  <w:tcW w:w="20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项目符合性分析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浙江省嘉兴市海宁市黄湾镇产业集聚重点管控单元ZH33048120003</w:t>
                  </w:r>
                </w:p>
              </w:tc>
              <w:tc>
                <w:tcPr>
                  <w:tcW w:w="536"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尖山新区</w:t>
                  </w:r>
                </w:p>
              </w:tc>
              <w:tc>
                <w:tcPr>
                  <w:tcW w:w="6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禁止准入类产业</w:t>
                  </w:r>
                </w:p>
              </w:tc>
              <w:tc>
                <w:tcPr>
                  <w:tcW w:w="25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1、禁止新增钢铁、铸造、水泥和平板玻璃等行业产能，严格执行相关污染物排放量削减替代管理要求和产能置换实施办法；提高电力、化工、印染、造纸、化纤等重点行业环保准入门槛，控制新增污染物排放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量。</w:t>
                  </w:r>
                </w:p>
              </w:tc>
              <w:tc>
                <w:tcPr>
                  <w:tcW w:w="20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项目属于储能系统组装，不属于钢铁、铸造、水</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泥和平板玻璃等行业，也不属</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于电力、化工、印染、造纸、化纤等重点行业。项目不属于禁止准入产业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53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6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限制准入类产业</w:t>
                  </w:r>
                </w:p>
              </w:tc>
              <w:tc>
                <w:tcPr>
                  <w:tcW w:w="25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1、严格限制新、扩建医药、印染、化纤、合成革、工业涂装、包装印刷、塑料和橡胶等涉VOCs重污染项目，新建涉VOCs排放的工业企业全部进入工业功能区，严格执行相关污染物排放量削减替代管理要求。</w:t>
                  </w:r>
                </w:p>
              </w:tc>
              <w:tc>
                <w:tcPr>
                  <w:tcW w:w="20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项目位于尖山新区工业功能区，属于储能系统组装生产，不属于医药、印染、化纤、合成革、工业涂装、包装印刷、塑料和橡胶等涉VOCs重污染项目，企业位于工业功能区，新增的VOCs严格执行削减替代管理要求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53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6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其他</w:t>
                  </w:r>
                </w:p>
              </w:tc>
              <w:tc>
                <w:tcPr>
                  <w:tcW w:w="25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1、优化产业布局和结构，实施分区差别化的产业准入条件。</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2、所有改、扩建耗煤项目，严格执行相关新增燃煤和污染物排放减量替代管理要求，且排污强度、能效和碳排放水平必须达到国内先进水平。</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3、合理规划居住区与工业功能区，在居住区和工业区、工业企业之间设置防护绿地、生态绿地等隔离带。</w:t>
                  </w:r>
                </w:p>
              </w:tc>
              <w:tc>
                <w:tcPr>
                  <w:tcW w:w="208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1、项目属于新能源产业，符合区域产业导向；</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2、项目不涉及燃煤使用。</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3、项目位于工业功能区，与周边居民较远。</w:t>
                  </w:r>
                </w:p>
              </w:tc>
            </w:tr>
          </w:tbl>
          <w:p>
            <w:pPr>
              <w:bidi w:val="0"/>
              <w:rPr>
                <w:rFonts w:hint="eastAsia"/>
                <w:lang w:val="en-US" w:eastAsia="zh-CN"/>
              </w:rPr>
            </w:pPr>
            <w:r>
              <w:rPr>
                <w:rFonts w:hint="eastAsia"/>
                <w:lang w:val="en-US" w:eastAsia="zh-CN"/>
              </w:rPr>
              <w:t>本项目属于能源系统的组装生产，不属于其环境准入清单（修订后）中所列的禁止准入类和限制准入产业；综上，项目符合环境准入负面清单要求。</w:t>
            </w:r>
          </w:p>
          <w:p>
            <w:pPr>
              <w:pStyle w:val="6"/>
              <w:bidi w:val="0"/>
              <w:rPr>
                <w:rFonts w:hint="eastAsia"/>
                <w:lang w:val="en-US" w:eastAsia="zh-CN"/>
              </w:rPr>
            </w:pPr>
            <w:r>
              <w:rPr>
                <w:rFonts w:hint="eastAsia"/>
                <w:lang w:val="en-US" w:eastAsia="zh-CN"/>
              </w:rPr>
              <w:t>1.2.5环境标准清单符合性</w:t>
            </w:r>
          </w:p>
          <w:p>
            <w:pPr>
              <w:bidi w:val="0"/>
              <w:ind w:left="0" w:leftChars="0" w:firstLine="0" w:firstLineChars="0"/>
              <w:jc w:val="center"/>
              <w:rPr>
                <w:rFonts w:hint="eastAsia"/>
                <w:b/>
                <w:bCs/>
                <w:lang w:val="en-US" w:eastAsia="zh-CN"/>
              </w:rPr>
            </w:pPr>
            <w:r>
              <w:rPr>
                <w:rFonts w:hint="eastAsia"/>
                <w:b/>
                <w:bCs/>
                <w:lang w:val="en-US" w:eastAsia="zh-CN"/>
              </w:rPr>
              <w:t>表1.2-5  尖山新区规划环境标准清单及符合性分析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1181"/>
              <w:gridCol w:w="3156"/>
              <w:gridCol w:w="1969"/>
              <w:gridCol w:w="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类别</w:t>
                  </w:r>
                </w:p>
              </w:tc>
              <w:tc>
                <w:tcPr>
                  <w:tcW w:w="433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主要内容</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项目情况</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空间准入标准</w:t>
                  </w:r>
                </w:p>
              </w:tc>
              <w:tc>
                <w:tcPr>
                  <w:tcW w:w="118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浙江省嘉兴市海宁市黄湾镇产业集聚重点管控单元（尖山新区）ZH33048120003</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污染物排放管控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1、严格实施污染物总量控制制度，根据区域环境质量改善目标，削减污染物排放总量。</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2、新建二类、三类工业项目污染物排放水平要达到同行业国内先进水平。</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3、加快落实污水处理厂建设及提升改造项目，推进工业园区（工业企业）“污水零直排区”建设，所有企业实现雨污分流。</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4、加强土壤和地下水污染防治与修复。</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1、本项目严格实施污染物总量控制制度。新增的污染物指标严格执行区域平衡削减；</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2、本项目生活污水经厂区污水处理站处理达标后纳管；</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3、厂区已实施雨污分流，符合污水零直排的要求；</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4、本项目厂区地面均硬化处理，车间、危废仓库、化学仓库、污水站均采取了防腐、防渗措施；不开采地下水，要求企业加强土壤和地下水污染防治。</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环境风险防控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1、定期评估沿江河湖库工业企业、工业集聚区环境和健康风险。</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2、强化工业集聚区企业环境风险防范设施设备建设和正常运行监管，加强重点环境风险管控企业应急预案制定，建立常态化的企业隐患排查整治监管机制，加强风险防控体系建设。</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1、企业按规范设置了1个900m</w:t>
                  </w:r>
                  <w:r>
                    <w:rPr>
                      <w:rFonts w:hint="eastAsia"/>
                      <w:sz w:val="18"/>
                      <w:szCs w:val="18"/>
                      <w:vertAlign w:val="superscript"/>
                      <w:lang w:val="en-US" w:eastAsia="zh-CN"/>
                    </w:rPr>
                    <w:t>3</w:t>
                  </w:r>
                  <w:r>
                    <w:rPr>
                      <w:rFonts w:hint="eastAsia"/>
                      <w:sz w:val="18"/>
                      <w:szCs w:val="18"/>
                      <w:vertAlign w:val="baseline"/>
                      <w:lang w:val="en-US" w:eastAsia="zh-CN"/>
                    </w:rPr>
                    <w:t>的初期雨水收集池（兼事故应急池），雨污水排放口设置截止阀，雨污水排放口设置截止阀。定期评估环境和健康风险。</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2、项目投产前拟编制企业应急预案，建立企业隐患排查整治监管机制，加强风险防控体系建设。</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b/>
                      <w:bCs/>
                      <w:sz w:val="18"/>
                      <w:szCs w:val="18"/>
                      <w:vertAlign w:val="baseline"/>
                      <w:lang w:val="en-US" w:eastAsia="zh-CN"/>
                    </w:rPr>
                  </w:pPr>
                  <w:r>
                    <w:rPr>
                      <w:rFonts w:hint="eastAsia"/>
                      <w:b/>
                      <w:bCs/>
                      <w:sz w:val="18"/>
                      <w:szCs w:val="18"/>
                      <w:vertAlign w:val="baseline"/>
                      <w:lang w:val="en-US" w:eastAsia="zh-CN"/>
                    </w:rPr>
                    <w:t>资源开发效率要求</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1、推进工业集聚区生态化改造，强化企业清洁生产改造，推进节水型企业、节水型工业园区建设，落实煤炭消费减量替代要求，提高资源能源利用效率。</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本项目不产生生产废水，仅排放生活污水，选用先进设备在洁净车间组装能源系统，符合清洁生产要求。</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污染物排放标准</w:t>
                  </w: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废水（摘选）</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1、企业纳管污水执行《污水综合排放标准》(GB8978-1996)中的三级标准，其中氨氮和总磷执行《工业企业废水氮、磷污染物间接排放限值》(DB33/887-2013)，有行业排放标准的企业纳管污水执行行业排放标准。</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2、丁桥污水处理厂CODcr、氨氮、总氮和总磷等4项污染物执行《城镇污水处理厂主要水污染物排放标准》（DB33/2169-2018），其他污染物《城镇污水处理厂污染物排放标准》（GB18918-2002）及修改单中的一级A标准。</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本项目纳管污水执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行《电池工业污染物排放标准》(GB30484-2013)；尖山污水处理厂CODcr、氨氮、总磷、总氮等污染物执行《城镇污水处理厂主要水污染物排放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标准》（DB33/2169-2018</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），其他污染物执行《城镇污水处理厂污染物排放标准》（GB18918-2002）中一级A标准限值。</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废气（摘选）</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企业生产过程中排放的废气分别执行《大气污染物综合排放标准》（GB16297-1996）的二级标准和《恶臭污染物排放标准》（GB14554-93）；有行业排放标准的企业执行行业排放标准，根据《浙江省生态环境厅关于执行国家排放标准大气污染物特别排放限值的通告》，浙</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环发[2019]14号，全面执行国家排放标准大气污染物特别排放限值。</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本项目废气排放执行《电池工业污染物排放标准》(GB30484-2013)、《恶臭污染物排放标准》（GB14554-93）、《饮食业油烟排放标准（试行）》（GB18483-2001）等标准。</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固废</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危险废物处置执行《危险废物贮存污染控制标准》（GB18597-2023）及修改清单。一般废物处置执行《一般工业固体废物贮存、处置场污染控制标准》（GB18599－2001）和《关于发布&lt;一般工业固体废物贮存、处置场污染控制标准&gt;（GB18599-2001）等3项国家污染物控制标准修改单的公告》（环保部公告2013第36号）以及《一般工业固体废物贮存和填埋污染控制标准》（GB18599-2020）中的有关规定。</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本项目危险废物处置执行《危险废物贮存污染控制标准》（GB18597-2023），一般废物处置参照《一般工业固体废物贮存和填埋污染控制标准》(GB18599-2020)</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环境质量管控标准</w:t>
                  </w: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大气环境质量标准</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常规污染物执行《环境空气质量标准》（GB3095-2012）及修改清单；特殊污染物参照执行《环境影响评价技术导则大气环境》（HJ2.2-2018）附录D中的环境空气质量浓度限值以及《大气污染物综合排放标准详解》等。</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本项目常规污染物执行《环境空气质量标准》（GB3095-2012）及修改清单</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水环境质量标准</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《地表水环境质量标准》（GB3838-2002）中III类标准、《地下水质量标准》（GB/T14848-2017）III类标准。</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本项目水环境质量标准执行《地表水环境质量标准》（GB3838-2002）中Ⅲ类标准、《地下水质量标准》（GB/T14848-2017）Ⅲ类标准</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声环境质量标准</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《声环境质量标准》（GB3096-2008）中2、3、4a类标准</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本项目声环境质量执行《声环境质量标准》（GB3096-2008）中3类、4a类标准；</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土壤环境质量标准</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土壤环境质量建设用地土壤污染风险管控标准（试行）(GB36600-2018)、《土壤环境质量农用地土壤风险管控标准（试行）》（GB15618-2018）</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本项目土壤环境质量标准按照GB36600-2018执行</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行业准入标准</w:t>
                  </w:r>
                </w:p>
              </w:tc>
              <w:tc>
                <w:tcPr>
                  <w:tcW w:w="118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尖山新区涉及行业需执行的环境准入条件、环境准入指导意见，以及行业准入条件、技术规范等</w:t>
                  </w:r>
                </w:p>
              </w:tc>
              <w:tc>
                <w:tcPr>
                  <w:tcW w:w="31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（1）《浙江省涤纶产业环境准入指导意见（修订）》</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（2）《浙江省化学原料药产业环境准入指导意见（修订）》</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（3）《国务院批转发展改革委等部门关于抑制部分行业产能过剩和重复建设引导产业健康发展若干意见的通知》</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（4）《海宁市黄湾镇（尖山新区）制造业发展优化升级方案》（2017年）</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（5）《生活垃圾焚烧发电建设项目环境准入条件（试行）》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（6）《市场准入负面清单》（2022年版）</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（7）《海宁市生态环境分区管控动态更新方案》（2020年）</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（8）《浙江省挥发性有机物污染整治方案》</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（9）《浙江省涂装行业挥发性有机物污染整治规范》</w:t>
                  </w:r>
                </w:p>
              </w:tc>
              <w:tc>
                <w:tcPr>
                  <w:tcW w:w="19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不属于《国务院批转发展改革委等部门关于抑制部分行业产能过剩和重复建设引导产业健康发展若干意见的通知》中的产能过剩行业；本项目属于《海宁市关于加快半导体产业发展的实施意见（2018-2022）》中的主导引入行业。</w:t>
                  </w:r>
                </w:p>
              </w:tc>
              <w:tc>
                <w:tcPr>
                  <w:tcW w:w="39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符合</w:t>
                  </w:r>
                </w:p>
              </w:tc>
            </w:tr>
          </w:tbl>
          <w:p>
            <w:pPr>
              <w:bidi w:val="0"/>
              <w:rPr>
                <w:rFonts w:hint="eastAsia"/>
                <w:lang w:val="en-US" w:eastAsia="zh-CN"/>
              </w:rPr>
            </w:pPr>
            <w:r>
              <w:rPr>
                <w:rFonts w:hint="eastAsia"/>
                <w:lang w:val="en-US" w:eastAsia="zh-CN"/>
              </w:rPr>
              <w:t>项目符合尖山新区规划环境标准清单要求。</w:t>
            </w:r>
          </w:p>
          <w:p>
            <w:pPr>
              <w:pStyle w:val="6"/>
              <w:bidi w:val="0"/>
              <w:rPr>
                <w:rFonts w:hint="eastAsia"/>
                <w:lang w:val="en-US" w:eastAsia="zh-CN"/>
              </w:rPr>
            </w:pPr>
            <w:r>
              <w:rPr>
                <w:rFonts w:hint="eastAsia"/>
                <w:lang w:val="en-US" w:eastAsia="zh-CN"/>
              </w:rPr>
              <w:t>1.2.6现有问题整改措施清单符合性</w:t>
            </w:r>
          </w:p>
          <w:p>
            <w:pPr>
              <w:bidi w:val="0"/>
              <w:ind w:left="0" w:leftChars="0" w:firstLine="0" w:firstLineChars="0"/>
              <w:jc w:val="center"/>
              <w:rPr>
                <w:rFonts w:hint="eastAsia"/>
                <w:b/>
                <w:bCs/>
                <w:lang w:val="en-US" w:eastAsia="zh-CN"/>
              </w:rPr>
            </w:pPr>
            <w:r>
              <w:rPr>
                <w:rFonts w:hint="eastAsia"/>
                <w:b/>
                <w:bCs/>
                <w:lang w:val="en-US" w:eastAsia="zh-CN"/>
              </w:rPr>
              <w:t>表1.2-6  现有问题整改措施清单符合性分析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396"/>
              <w:gridCol w:w="1793"/>
              <w:gridCol w:w="1330"/>
              <w:gridCol w:w="1872"/>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类别</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存在问题</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主要原因</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解决方案</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产业结构</w:t>
                  </w:r>
                </w:p>
              </w:tc>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产业结构</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尖山新区现状产业结构主要以机械五金、塑料制品、汽车零部件及配件制造、沙发家具行业为主，传统的污染型产业比重过高，新兴产业发展相对滞后，产业链不完整。</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开发区建设初期引进较多的装饰扣板、转印膜、经编家纺、家具制造等传统企业。</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重点发展优势产业集群，大力发展战略新兴产业，整治提升现有污染企业，淘汰落后产能，鼓励企业加强技术改造。</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本项目属于新能源储能系统组装生产，不属于工业项目，符合园区的产业导向，不属于落后产能。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空间布局</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现状工业片区整体位于商住区的上风向。尖山高尔夫球场南侧和东侧规划配套居住服务区距离工业企业较近。尖山新区北侧公租房距离西侧嘉绍高速公路较近。</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项目建设开发过程中对总体布局规划及其环境影响考虑不充分。</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工业片区中靠近商住区的区域布置污染较少或无污染的工业企业，做好嘉绍高速两侧基础设施廊道中的绿化建设，尽可能减少工业区对商住区的影响。尖山高尔夫球场东侧规划居住用地拟调整为工业用地，南侧规划居住用地与工业企业设置绿化隔离措施，布局无污染或轻污染制造业。加高嘉绍高速公路靠近公租房段的声屏障高度以及完善公租房西侧绿化带。</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本项目500米范围内无环境空气保护目标，与居住区距离较远，符合要求。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396"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污染防治与环境保护</w:t>
                  </w:r>
                </w:p>
              </w:tc>
              <w:tc>
                <w:tcPr>
                  <w:tcW w:w="396"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企业污染防治</w:t>
                  </w:r>
                </w:p>
              </w:tc>
              <w:tc>
                <w:tcPr>
                  <w:tcW w:w="179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部分企业仍采用低效污染防治措施或污染防治措施不完善，且涉VOCs企业处理装置落后，VOCs废气的收集、处理效率偏低。部分企业未及时进行环保三同时验收。部分企业噪声防治措施不完善，未进行减震降噪处理。</w:t>
                  </w:r>
                </w:p>
              </w:tc>
              <w:tc>
                <w:tcPr>
                  <w:tcW w:w="133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部分企业缺乏环保意识，污染防治措施落实不到位。</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按照《浙江省挥发性有机物污染整治方案》及各行业环境整治要求，进一步完成有机物污染整治，减少挥发性有机物排放。加快低小散企业腾退搬迁工作，监督搬迁企业落实搬迁过程和搬迁后的环保工作。督促企业落实各项污染防治措施。</w:t>
                  </w:r>
                </w:p>
              </w:tc>
              <w:tc>
                <w:tcPr>
                  <w:tcW w:w="129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企业现有投产项目已完成阶段性三同时验收，治理措施完善，现有废水、废气和噪声均能达标排放，符合要求。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pPr>
                </w:p>
              </w:tc>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pPr>
                </w:p>
              </w:tc>
              <w:tc>
                <w:tcPr>
                  <w:tcW w:w="1793"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pPr>
                </w:p>
              </w:tc>
              <w:tc>
                <w:tcPr>
                  <w:tcW w:w="1330"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pP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继续优化VOCs企业光催化处理工艺，采用不会产生臭氧、且治理效果更优的工艺进行替代。</w:t>
                  </w:r>
                </w:p>
              </w:tc>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环境质量</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大气环境：收集2019年海宁尖山自动监测站的常规监测数据，环境空气中PM</w:t>
                  </w:r>
                  <w:r>
                    <w:rPr>
                      <w:rFonts w:hint="eastAsia"/>
                      <w:sz w:val="18"/>
                      <w:szCs w:val="18"/>
                      <w:vertAlign w:val="subscript"/>
                      <w:lang w:val="en-US" w:eastAsia="zh-CN"/>
                    </w:rPr>
                    <w:t>2.5</w:t>
                  </w:r>
                  <w:r>
                    <w:rPr>
                      <w:rFonts w:hint="eastAsia"/>
                      <w:sz w:val="18"/>
                      <w:szCs w:val="18"/>
                      <w:vertAlign w:val="baseline"/>
                      <w:lang w:val="en-US" w:eastAsia="zh-CN"/>
                    </w:rPr>
                    <w:t>存在超标现象。另根据海宁市2016年~2019年环境空气质量监测优良率总体呈上升趋势；PM</w:t>
                  </w:r>
                  <w:r>
                    <w:rPr>
                      <w:rFonts w:hint="eastAsia"/>
                      <w:sz w:val="18"/>
                      <w:szCs w:val="18"/>
                      <w:vertAlign w:val="subscript"/>
                      <w:lang w:val="en-US" w:eastAsia="zh-CN"/>
                    </w:rPr>
                    <w:t>2.5</w:t>
                  </w:r>
                  <w:r>
                    <w:rPr>
                      <w:rFonts w:hint="eastAsia"/>
                      <w:sz w:val="18"/>
                      <w:szCs w:val="18"/>
                      <w:vertAlign w:val="baseline"/>
                      <w:lang w:val="en-US" w:eastAsia="zh-CN"/>
                    </w:rPr>
                    <w:t>年平均浓度逐年下降。根据2020年海宁市空气质量监测情况，细颗粒物（PM</w:t>
                  </w:r>
                  <w:r>
                    <w:rPr>
                      <w:rFonts w:hint="eastAsia"/>
                      <w:sz w:val="18"/>
                      <w:szCs w:val="18"/>
                      <w:vertAlign w:val="subscript"/>
                      <w:lang w:val="en-US" w:eastAsia="zh-CN"/>
                    </w:rPr>
                    <w:t>2.5</w:t>
                  </w:r>
                  <w:r>
                    <w:rPr>
                      <w:rFonts w:hint="eastAsia"/>
                      <w:sz w:val="18"/>
                      <w:szCs w:val="18"/>
                      <w:vertAlign w:val="baseline"/>
                      <w:lang w:val="en-US" w:eastAsia="zh-CN"/>
                    </w:rPr>
                    <w:t>）的年均值浓度为29微克/立方米，首次达到GB3095-2012《环境空气质量标准》中二级标准。</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与整个园区工业污染源排放、治理有关。</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优化VOCs企业光催化处理工艺，采用不会产生臭氧、且治理效果更优的工艺进行替代，加强区域大气环境污染控制，继续强化各行业污染整治工作，推广清洁原料、推行高效收集处理工艺，从源头控制、末端治理等方面双管齐下，进行VOCs治理仍是重中之重。继续深化VOCs企业整治，推广清洁原料、推行高效收集处理工艺，从源头控制、末端治理等方面双管齐下，进行VOCs治理。</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根据《嘉兴市2024年生态环境状况公报》，本项目所在区域环境空气质量达标，污水站废气经碱喷淋+除雾+活性炭吸附处理后15米高空排放，能够达到《电池工</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业污染物排放标准》、《恶臭污染物排放标准》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地表水环境：根据收集2016~2019年地表水体的监测数据，各地表水体水质逐渐趋于达标状态，除COD</w:t>
                  </w:r>
                  <w:r>
                    <w:rPr>
                      <w:rFonts w:hint="eastAsia"/>
                      <w:sz w:val="18"/>
                      <w:szCs w:val="18"/>
                      <w:vertAlign w:val="subscript"/>
                      <w:lang w:val="en-US" w:eastAsia="zh-CN"/>
                    </w:rPr>
                    <w:t>Cr</w:t>
                  </w:r>
                  <w:r>
                    <w:rPr>
                      <w:rFonts w:hint="eastAsia"/>
                      <w:sz w:val="18"/>
                      <w:szCs w:val="18"/>
                      <w:vertAlign w:val="baseline"/>
                      <w:lang w:val="en-US" w:eastAsia="zh-CN"/>
                    </w:rPr>
                    <w:t>、石油类外，其余监测指标均符合《地表水环境质量标准》(GB3838-2002)中的III类水质标准。</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可能为工业雨污混流污染所致，受污染的雨水直排入河。</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尖山新区还须进一步加强区内水环境综合整治工作，深入开展“五水共治”，对区内各河道实行生态清淤疏浚，加强河道的护岸护坡工作和河岸的绿化等工作。尖山污水处理厂中水回用工程全部中水供给园区内企业生产用水，改善龙湾河水质。进一步加强园区内“雨污分流”和“污水零直排”工作。</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根据《嘉兴市</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2024年生态环境状况公报》，本项目所在地地表水环境质量达标，本项目产生的污水均通过企业内部污水处理设施处理达标后纳管并经区域污水厂处理后达标排海，不会对园区内河水体造成不利影响。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排污口及园区近岸海域环境：尖山污水处理厂尾水经尾水输送系统输送至丁桥污水处理厂，通过其排放口排入钱塘江，根据浙江省水质自动监测数据，排污口附近监测断面监测结果符合《地表水环境质量标准》(GB3838-2002)中III类标准；另根据收集到的2019年园区南侧钱塘江海水水质监测结果，受杭州湾大区域水质影响，目前毗邻大江东钱塘江河口段区域近岸海域水质不能满足《海水水质标准》(GB3097-1997)中的第三类海水水质标准要求。海域水质主要超标因子为pH、高锰酸盐指数因子超标，可能与钱塘江河口段沿线工业园区排污存在一定关系。但根据2019年中国海洋生态环境状况公报和补充收集的2019年现状监测结果，杭州湾近岸海域主要污染因子仍然是无机氮、活性磷酸盐。</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钱塘江水质超标原因主要有两个，一是受自身流域排放的污染物影响，这其中既有上游来水挟带污染物质的因素，也有本河段两岸面源、点源排放的因素。二是受流域范围以外污染物进入的影响，本河段下游即为杭州湾，杭州湾海水水质主要受到长江口沿岸流的影响，水质中氮、磷类物质的浓度一直处于超标状态，随着潮流的往复运动，海水挟带大量污染物涌入钱塘江河口，亦是造成本河段氮磷浓度超标的重要原因。</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建议尖山污水处理厂进一步提标改造，继续减轻尖山新区规划区污水排入钱塘江的污染物负荷。</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本项目进新增生活污水，且新增的废水量不多。尖山污水处理厂已完成提标改造，尖山污水处理厂出水中的COD</w:t>
                  </w:r>
                  <w:r>
                    <w:rPr>
                      <w:rFonts w:hint="eastAsia"/>
                      <w:sz w:val="18"/>
                      <w:szCs w:val="18"/>
                      <w:vertAlign w:val="subscript"/>
                      <w:lang w:val="en-US" w:eastAsia="zh-CN"/>
                    </w:rPr>
                    <w:t>Cr</w:t>
                  </w:r>
                  <w:r>
                    <w:rPr>
                      <w:rFonts w:hint="eastAsia"/>
                      <w:sz w:val="18"/>
                      <w:szCs w:val="18"/>
                      <w:vertAlign w:val="baseline"/>
                      <w:lang w:val="en-US" w:eastAsia="zh-CN"/>
                    </w:rPr>
                    <w:t>、氨氮、总磷、总氮污染物执行《城镇污水处理厂主要水污染物排放标准》（DB33/2169-2018）中表1现有城镇污水处理厂主要水污染物排放限值，其他污染物执行《城镇污水处理厂污染物排放标准》（GB18918-2002）中一级A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地下水环境：尖山新区及北侧黄湾镇区域地下水受到了污染，已不能达到《地下水质量标准》(GB/T14848-2017)</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中的III类标准限值，8个监测点位均有指标不同程度地超标。</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根据调查，尖山新区主要是使用钱塘江泥沙客土围垦而成，钱塘江为杭州、绍兴、嘉兴等多个区域的纳污水体，钱塘江泥沙可能受钱塘江水体影响，尖山新区使用钱塘江泥沙围垦，可能是造成地下水多因子普遍超标的原因之一。另外，据了解，尖山新区2005年围垦结束后，06年即开始基础设施建设，现状污水管线受到沉降影响，易出现破损断裂的情况，同时由于管道埋设深（大部分4米以上）、管道材质（以前普遍采用UPVC管、HDPE管）等原因，污水管道普遍有不同程度的老化、破损，也造成了区内地下水的污染</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严格控制地下水开采使用，另外应加快区内排污管网的检查和修复工作，避免区内废水管线破损泄漏废水污染地下水。管委会已委托了检测单位对污水管网进行CCTV视频检测，针对检测结果来看，部分管道有不同程度的破损、变形或者拖拉管等异物入侵，管委会已启动污水管网提升改造</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项目不涉及地下水开采，采取了符合相关规范的防渗措施，正常工况下一般不会对地下水环境产生重大影响。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声环境：嘉绍高速（常台高速）的交通噪声影响较大，其沿线的4a类和2类区域均出现夜间超标，甚至昼间也会出现超标。</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嘉绍高速车流量较大，对周边声环境有一定影响。</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黄湾镇政府在嘉绍高速两侧规划和新建居住敏感项目时，首先按高速防护需要进行敏感建筑的退让，严格执行120米的防护</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距离.其次，敏感项目设计时须合理功能布局，并尽量采取加高围墙、实施绿化和设置通风隔声窗等综合措施，并且做到住宅用房销售时告知购房者交通噪声环境影响因素，避免日后引起纠纷。</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企业四周厂界昼夜噪声均可满足GB3096-2008《声环境质量标准》相应声环境功能区标准要求。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风险防范</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目前尖山新区内环境风险防范体系的建设主要为企业环境风险防范体系，以各企业为单位各自建立环境安全保障系统，黄湾镇政府尚未建立区域环境风险防范体系；区内大部分生产企业已完成或更新编制《突发环境事件应急预案》，并在海宁市环保局监察大队备案，但缺乏组织演习，加强培训和风险排查。</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尖山新区内应急管理制度不健全。</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建立区域风险防范体系、重点风险源动态管理信息库、环境风险救援力量管理信息库，定期组织区域性及企业级演习，加强培训和风险排查。</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编制完成《浙江晶科储能有限公司突发环境事件综合应急预案》，嘉兴市生态环境局海宁分局于2024年5月17日予以备案（备案号：330481-2024-058-L），并定期开展演练，本项目实施后风险等级不发生变化，无需进行修编，要求定期开展演练和风险排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环境管理</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规划范围内部分搬迁或新建企业未及时执行“三同时”验收。</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未及时进行“三同时”验收项目主要有两种情况：①部分项目为新批项目，企业还未完全投产；②部分项目实施后未提交验收申请。</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加快搬迁或新建入园企业“三同时”验收工作，对租用厂房生产的未完成验收的企业进行定期核查，监督企业完成相关工作。</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企业现有投产项目已落实“三同时”验收。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资源利用</w:t>
                  </w:r>
                </w:p>
              </w:tc>
              <w:tc>
                <w:tcPr>
                  <w:tcW w:w="3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资源利用</w:t>
                  </w:r>
                </w:p>
              </w:tc>
              <w:tc>
                <w:tcPr>
                  <w:tcW w:w="17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工业区单位工业增加值综合能耗、新鲜水耗不能达到综合类生态园区指标要求，总体清洁生产水平一般。</w:t>
                  </w:r>
                </w:p>
              </w:tc>
              <w:tc>
                <w:tcPr>
                  <w:tcW w:w="1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总体清洁水平不高主要还是区域及企业未及时开展提升改造及转型升级，大部分企业也没有开展清洁生产审核等。</w:t>
                  </w:r>
                </w:p>
              </w:tc>
              <w:tc>
                <w:tcPr>
                  <w:tcW w:w="187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加强尖山新区内企业清洁生产工作，提高企业清洁生产水平。</w:t>
                  </w:r>
                </w:p>
              </w:tc>
              <w:tc>
                <w:tcPr>
                  <w:tcW w:w="12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lang w:val="en-US" w:eastAsia="zh-CN"/>
                    </w:rPr>
                  </w:pPr>
                  <w:r>
                    <w:rPr>
                      <w:rFonts w:hint="eastAsia"/>
                      <w:sz w:val="18"/>
                      <w:szCs w:val="18"/>
                      <w:vertAlign w:val="baseline"/>
                      <w:lang w:val="en-US" w:eastAsia="zh-CN"/>
                    </w:rPr>
                    <w:t>本项目位于洁净车间密闭设备内生产，总体清洁水平较高。</w:t>
                  </w:r>
                </w:p>
              </w:tc>
            </w:tr>
          </w:tbl>
          <w:p>
            <w:pPr>
              <w:bidi w:val="0"/>
              <w:rPr>
                <w:rFonts w:hint="eastAsia"/>
                <w:lang w:val="en-US" w:eastAsia="zh-CN"/>
              </w:rPr>
            </w:pPr>
            <w:r>
              <w:rPr>
                <w:rFonts w:hint="eastAsia"/>
                <w:lang w:val="en-US" w:eastAsia="zh-CN"/>
              </w:rPr>
              <w:t>项目符合现有问题整改措施清单清单要求。</w:t>
            </w:r>
          </w:p>
          <w:p>
            <w:pPr>
              <w:pStyle w:val="6"/>
              <w:bidi w:val="0"/>
              <w:rPr>
                <w:rFonts w:hint="eastAsia"/>
                <w:lang w:val="en-US" w:eastAsia="zh-CN"/>
              </w:rPr>
            </w:pPr>
            <w:r>
              <w:rPr>
                <w:rFonts w:hint="eastAsia"/>
                <w:lang w:val="en-US" w:eastAsia="zh-CN"/>
              </w:rPr>
              <w:t>1.2.7规划环评审查意见</w:t>
            </w:r>
          </w:p>
          <w:p>
            <w:pPr>
              <w:bidi w:val="0"/>
              <w:ind w:left="0" w:leftChars="0" w:firstLine="0" w:firstLineChars="0"/>
              <w:jc w:val="center"/>
              <w:rPr>
                <w:rFonts w:hint="eastAsia"/>
                <w:b/>
                <w:bCs/>
                <w:lang w:val="en-US" w:eastAsia="zh-CN"/>
              </w:rPr>
            </w:pPr>
            <w:r>
              <w:rPr>
                <w:rFonts w:hint="eastAsia"/>
                <w:b/>
                <w:bCs/>
                <w:lang w:val="en-US" w:eastAsia="zh-CN"/>
              </w:rPr>
              <w:t>表1.2-7  审查意见符合性分析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4114"/>
              <w:gridCol w:w="1900"/>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序号</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审查意见</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符合性分析</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优化功能布局和产业结构。尖山新区规划应加强与海宁市城市总体规划、土地利用规划及环境功能区划的衔接，并根据环境功能区划及环境综合整治的相关要求，进行统筹协调和优化发展。调整开发区内不符合土地利用规划的用地类型，在土地利用性质未转换、上位规划未调整及规划修编未获批前，仍按原相关要求进行开发管理。严格控制现状及规划居住用地、文教用地附近的用地类型，特别须注意尖山高尔夫球场南侧和东侧的规划居住用地与工业用地紧邻，应在规划实施中进一步优化功能定位，通过调整工业企业车间布局，合理设置隔离带或缓冲区，提出有效的污染防治对策，以进一步减轻企业产生的环境影响。同时，开发区在后续规划实施过程中应结合嘉兴市、海宁市的产业提升需求进一步优化产业结构，统筹协调并实施差异化发展，严格控制区域内污染物排放总量，积极鼓励和引导企业进行高新技术改造，提高入区企业的规模和质量</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位于尖山新区规划环评范围内，用地属于工业用地，项目周边主要为工业企业，500m范围内无居住区，本项目产生的废气、废水经处理后均可达标排放，采取相应减振降噪措施后噪声排放符合相关要求，固体废物均妥善处理。</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加快推进基础设施建设。开发区污水依托丁桥污水处理厂集中处理，应进一步完善雨污分流和区域污水管网建设，提高废水收集率，优化污水处理厂的尾水排放去向，确保污水处理厂稳定达标。在污水处理能力无法满足的情况下，应限制该区域的发展进度和规模，限制高耗水企业入区。开发区应加快海宁恒逸热电有限公司热电联产项目的建设，并进一步优化能源结构，鼓励使用清洁能源。开发区应根据需求，统筹协调区域内危废处置项目建设，确保区域内危废处置率达到100%</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本项目产生的污废水经处理后达标纳入市政污水管网，最终送入尖山污水处理厂处理达标后排入钱塘江，本项目所使用的能源为电能，不涉及煤炭使用。</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3</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加强重点污染物的排放管控。开发区应对重点污染物进行严格管控，入区项目应与现有省市县综合整治要求相结合，通过源头控制、末端治理与布局优化等措施积极推进现有企业废气综合治理，有效控制各类废气的排放总量。开发区内危险废物应严格执行转移联单制度，依法进行申报登记，并按相关要求进行收集、贮存、运输，实施全过程监管。</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本项目符合相关整治规范要求，项目已在海宁市经信局备案，本项目产生的危险废物应严格执行转移联单制度，依法进行申报登记，并按相关要求进行收集、贮存、运输，实施全过程监管。</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严格执行建设项目环境准入制度。开发区应结合相应基础设施实施进度，优化区块的开发时序、定位、规模、布局，并按环境准入条件清单、污染物排放总量管控限值清单等要求严把企业准入关，进一步提高建设项目环保准入门槛。开发区应对现有污染较重的行业形成重污染企业、重污染工艺退出机制，鼓励企业进行技术改造，进一步提升工艺技术与装备水平的清洁化改造要求，对高能耗、高水耗、废气排放企业进行严格管控。鼓励引进节水型企业，加大中水回用力度，提高水资源利用率，减少污水排放总量，逐步改善区域水环境质量</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本项目产生的废气、废水、噪声在采取相关措施后均可达标排放，固体废物均妥善处理，对环境影响较小</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5</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完善开发区日常环境管理制度。开发区应全面排查梳理区域内现有企业存在的环保问题，督促企业整改到位。同时，开发区应建立环境事故风险管控和应急救援体系，编制应急预案，完善应急响应的区域联动机制，并定期开展演练，杜绝和降低环境风险，维护社会稳定。开发区应建立环境监管体系，设立污染物达标排放在线监测，对区域内的水环境、大气环境等开展定期或不定期的跟踪监测，确保区域内环境功能区质量</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项目产生的废气、废水、噪声在采取相关措施后均可达标排放，固体废物均妥善处理，对环境影响较小</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6</w:t>
                  </w:r>
                </w:p>
              </w:tc>
              <w:tc>
                <w:tcPr>
                  <w:tcW w:w="41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加强规划环评与项目环评的联动。开发区内所包含的近期建设项目，在开展环境影响评价时，应遵循《报告书》主要结论和提出的环保对策措施，需特别注意环境基础设施支撑、环境污染物排放总量及与环境功能区相符性等问题，强化污染防治和环境风险防范等措施的落实。对符合规划环评结论清单的建设项目，可结合环境管理的要求，简化项目环评内容</w:t>
                  </w:r>
                </w:p>
              </w:tc>
              <w:tc>
                <w:tcPr>
                  <w:tcW w:w="19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本项目严格遵循规划环评中提出的相关要求，项目新增的污染物排放量在企业位于的工业功能区内实施区域替代削减。</w:t>
                  </w:r>
                </w:p>
              </w:tc>
              <w:tc>
                <w:tcPr>
                  <w:tcW w:w="67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bl>
          <w:p>
            <w:pPr>
              <w:bidi w:val="0"/>
              <w:ind w:left="0" w:leftChars="0" w:firstLine="422" w:firstLineChars="200"/>
            </w:pPr>
            <w:r>
              <w:rPr>
                <w:rFonts w:hint="eastAsia"/>
                <w:b/>
                <w:bCs/>
                <w:lang w:val="en-US" w:eastAsia="zh-CN"/>
              </w:rPr>
              <w:t>规划环评符合性分析：</w:t>
            </w:r>
            <w:r>
              <w:rPr>
                <w:rFonts w:hint="eastAsia"/>
                <w:lang w:val="en-US" w:eastAsia="zh-CN"/>
              </w:rPr>
              <w:t>本项目位于嘉兴市海宁市</w:t>
            </w:r>
            <w:r>
              <w:rPr>
                <w:rFonts w:hint="eastAsia"/>
              </w:rPr>
              <w:t>黄湾镇尖山新区向心路8号</w:t>
            </w:r>
            <w:r>
              <w:rPr>
                <w:rFonts w:hint="eastAsia"/>
                <w:lang w:val="en-US" w:eastAsia="zh-CN"/>
              </w:rPr>
              <w:t>，位于尖山新区规划环评范围内，项目用地为工业用地，主要进行储能系统的组装，不属于规划环评所禁止、限制准入的项目，本项目已在海宁市经信局备案，本项目产生的废气、废水经处理后均达标排放，并符合总量控制要求，本项目噪声经相关减震降噪措施后达标排放，本项目产生的固体废物均按要求处置，并做好风险防范措施，本项目符合规划环评要求、符合规划环境影响评价结论及审查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1" w:hRule="atLeast"/>
          <w:jc w:val="center"/>
        </w:trPr>
        <w:tc>
          <w:tcPr>
            <w:tcW w:w="1191" w:type="dxa"/>
            <w:tcBorders>
              <w:tl2br w:val="nil"/>
              <w:tr2bl w:val="nil"/>
            </w:tcBorders>
            <w:vAlign w:val="center"/>
          </w:tcPr>
          <w:p>
            <w:pPr>
              <w:pStyle w:val="20"/>
              <w:rPr>
                <w:sz w:val="21"/>
              </w:rPr>
            </w:pPr>
            <w:r>
              <w:rPr>
                <w:rFonts w:hint="eastAsia"/>
                <w:sz w:val="21"/>
              </w:rPr>
              <w:t>其他符合性分析</w:t>
            </w:r>
          </w:p>
        </w:tc>
        <w:tc>
          <w:tcPr>
            <w:tcW w:w="7331" w:type="dxa"/>
            <w:gridSpan w:val="3"/>
            <w:tcBorders>
              <w:tl2br w:val="nil"/>
              <w:tr2bl w:val="nil"/>
            </w:tcBorders>
            <w:vAlign w:val="center"/>
          </w:tcPr>
          <w:p>
            <w:pPr>
              <w:pStyle w:val="5"/>
              <w:bidi w:val="0"/>
              <w:rPr>
                <w:rFonts w:hint="eastAsia"/>
                <w:lang w:val="en-US" w:eastAsia="zh-CN"/>
              </w:rPr>
            </w:pPr>
            <w:bookmarkStart w:id="1" w:name="_Toc31531"/>
            <w:r>
              <w:rPr>
                <w:rFonts w:hint="eastAsia"/>
                <w:lang w:val="en-US" w:eastAsia="zh-CN"/>
              </w:rPr>
              <w:t>1.3、建设项目环保审批要求符合性分析</w:t>
            </w:r>
          </w:p>
          <w:p>
            <w:pPr>
              <w:bidi w:val="0"/>
              <w:rPr>
                <w:rFonts w:hint="eastAsia"/>
                <w:lang w:val="en-US" w:eastAsia="zh-CN"/>
              </w:rPr>
            </w:pPr>
            <w:r>
              <w:rPr>
                <w:rFonts w:hint="eastAsia"/>
                <w:lang w:val="en-US" w:eastAsia="zh-CN"/>
              </w:rPr>
              <w:t>根据《浙江省建设项目环境保护管理办法》（2021 年修正）的相关要求：建设项目应当符合生态保护红线、环境质量底线、资源利用上线和生态环境准入清单管控的要求；排放污染物应当符合国家、省规定的污染物排放标准和重点污染物排放总量控制要求。建设项目还应当符合国土空间规划、国家和省产业政策等要求。</w:t>
            </w:r>
          </w:p>
          <w:p>
            <w:pPr>
              <w:pStyle w:val="6"/>
              <w:bidi w:val="0"/>
              <w:rPr>
                <w:rFonts w:hint="eastAsia"/>
                <w:lang w:val="en-US" w:eastAsia="zh-CN"/>
              </w:rPr>
            </w:pPr>
            <w:r>
              <w:rPr>
                <w:rFonts w:hint="eastAsia"/>
                <w:lang w:val="en-US" w:eastAsia="zh-CN"/>
              </w:rPr>
              <w:t>1.3.1《海宁市生态环境分区管控动态更新方案》符合性分析</w:t>
            </w:r>
          </w:p>
          <w:p>
            <w:pPr>
              <w:bidi w:val="0"/>
              <w:rPr>
                <w:rFonts w:hint="eastAsia"/>
                <w:lang w:val="en-US" w:eastAsia="zh-CN"/>
              </w:rPr>
            </w:pPr>
            <w:r>
              <w:rPr>
                <w:rFonts w:hint="eastAsia"/>
                <w:lang w:val="en-US" w:eastAsia="zh-CN"/>
              </w:rPr>
              <w:t>根据《海宁市生态环境分区管控动态更新方案》，本项目属于浙江省嘉兴市海宁市黄湾镇产业集聚重点管控单元（ZH33048120003），项目与分区管控单元符合性分析如下：</w:t>
            </w:r>
          </w:p>
          <w:p>
            <w:pPr>
              <w:bidi w:val="0"/>
              <w:ind w:left="0" w:leftChars="0" w:firstLine="0" w:firstLineChars="0"/>
              <w:jc w:val="center"/>
              <w:rPr>
                <w:rFonts w:hint="default" w:eastAsia="宋体"/>
                <w:b/>
                <w:bCs/>
                <w:lang w:val="en-US" w:eastAsia="zh-CN"/>
              </w:rPr>
            </w:pPr>
            <w:r>
              <w:rPr>
                <w:rFonts w:hint="eastAsia"/>
                <w:b/>
                <w:bCs/>
                <w:lang w:val="en-US" w:eastAsia="zh-CN"/>
              </w:rPr>
              <w:t>表1.3-1  海宁市生态环境管控单元准入清单符合性分析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579"/>
              <w:gridCol w:w="2991"/>
              <w:gridCol w:w="2456"/>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生态环境分区管控</w:t>
                  </w: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管控要求</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本项目情况</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生态环境准入清单</w:t>
                  </w:r>
                </w:p>
              </w:tc>
              <w:tc>
                <w:tcPr>
                  <w:tcW w:w="57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空间布局约束</w:t>
                  </w: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优化产业布局和结构，实施分区差别化的产业准入条件。</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本项目位于尖山新区，根据项目备案以及前述规划及规划环评符合性可知，本项目的建设符合产业准入要求。</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合理规划布局三类工业项目，控制三类工业项目布局范围和总体规模，鼓励对现有三类工业项目进行淘汰和提升改造。</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本项目不属于三类工业项目。</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禁止新增钢铁、水泥和平板玻璃等行业产能，严格执行相关污染物排放量削减替代管理要求和产能置换实施办法；提高电力、化工、印染、造纸、化纤等重点行业环保准入门槛，控制新增污染物排放量。</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本项目不属于列举的钢铁、水泥、平板玻璃、电力、化工、印染、造纸、化纤等行业。</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严格限制新、扩建医药、印染、化纤、合成革、工业涂装、包装印刷、塑料和橡胶等涉VOCs 重污染项目，新建涉VOCs 排放的工业企业全部进入工业功能区，严格执行相关污染物排放量削减替代管理要求。</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项目实施后新增VOCs污染物排放总量，严格执行相关污染物排放量削减替代管理要求。</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合理规划居住区与工业功能区，在居住区和工业区、工业企业之间设置防护绿地、生态绿地等隔离带。</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本项目位于尖山新区，周边主要以工业企业为主，企业与居住区之间设置有防护绿地、生态绿地等隔离带。</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污染物排放管控</w:t>
                  </w: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严格实施污染物总量控制制度，根据区域环境质量改善目标，削减污染物排放总量</w:t>
                  </w:r>
                  <w:r>
                    <w:rPr>
                      <w:sz w:val="18"/>
                      <w:szCs w:val="18"/>
                    </w:rPr>
                    <w:t>。</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项目实施后新增的污染物总量</w:t>
                  </w:r>
                  <w:r>
                    <w:rPr>
                      <w:rFonts w:hint="eastAsia"/>
                      <w:sz w:val="18"/>
                      <w:szCs w:val="18"/>
                      <w:lang w:val="en-US" w:eastAsia="zh-CN"/>
                    </w:rPr>
                    <w:t>按照</w:t>
                  </w:r>
                  <w:r>
                    <w:rPr>
                      <w:rFonts w:hint="eastAsia"/>
                      <w:sz w:val="18"/>
                      <w:szCs w:val="18"/>
                    </w:rPr>
                    <w:t>区域环境质量改善目标削减</w:t>
                  </w:r>
                  <w:r>
                    <w:rPr>
                      <w:rFonts w:hint="eastAsia"/>
                      <w:sz w:val="18"/>
                      <w:szCs w:val="18"/>
                      <w:lang w:val="en-US" w:eastAsia="zh-CN"/>
                    </w:rPr>
                    <w:t>平衡</w:t>
                  </w:r>
                  <w:r>
                    <w:rPr>
                      <w:rFonts w:hint="eastAsia"/>
                      <w:sz w:val="18"/>
                      <w:szCs w:val="18"/>
                    </w:rPr>
                    <w:t>。</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新建二类、三类工业项目污染物排放水平要达到同行业国内先进水平</w:t>
                  </w:r>
                  <w:r>
                    <w:rPr>
                      <w:sz w:val="18"/>
                      <w:szCs w:val="18"/>
                    </w:rPr>
                    <w:t>。</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本项目产生的“三废”采取相应措施后可以达到国内先进水平</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新建、改建、扩建高耗能、高排放项目须符合生态环境保护法律法规和相关法定规划，强化“两高”行业排污许可证管理，推进减污降碳协同控制。</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本项目不属于高耗能、高排放项目。</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加快落实污水处理厂建设及提升改造项目，推进工业园区（工业企业）“污水零直排区”建设，所有企业实现雨污分流</w:t>
                  </w:r>
                  <w:r>
                    <w:rPr>
                      <w:sz w:val="18"/>
                      <w:szCs w:val="18"/>
                    </w:rPr>
                    <w:t>。</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企业所在厂房已经依照相关部门要求进行了雨污分流，污水亦能按要求排入市政污水管网，故符合“污水零直排区”建设要求。</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加强土壤和地下水污染防治与修复</w:t>
                  </w:r>
                  <w:r>
                    <w:rPr>
                      <w:sz w:val="18"/>
                      <w:szCs w:val="18"/>
                    </w:rPr>
                    <w:t>。</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本项目厂区及车间地面均硬化处理，也不开采地下水，对土壤和地下水基本无影响</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重点行业按照规范要求开展建设项目碳排放评价。</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本项目不属于重点行业。</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环境风险防控</w:t>
                  </w: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定期评估沿江河湖库工业企业、工业集聚区环境和健康风险。</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本项目选址位于尖山新区，周边存在河浜；企业将配合相关部门做好沿江河湖库工业企业、工业集聚区环境和健康风险的评估以及相关工作。</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强化工业集聚区企业环境风险防范设施设备建设和正常运行监管，加强重点环境风险管控企业应急预案制定，建立常态化的企业隐患排查整治监管机制，加强风险防控体系建设。</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本项目为</w:t>
                  </w:r>
                  <w:r>
                    <w:rPr>
                      <w:rFonts w:hint="eastAsia"/>
                      <w:sz w:val="18"/>
                      <w:szCs w:val="18"/>
                      <w:lang w:val="en-US" w:eastAsia="zh-CN"/>
                    </w:rPr>
                    <w:t>能源系统组装项目</w:t>
                  </w:r>
                  <w:r>
                    <w:rPr>
                      <w:rFonts w:hint="eastAsia"/>
                      <w:sz w:val="18"/>
                      <w:szCs w:val="18"/>
                    </w:rPr>
                    <w:t>，企业将加强自身环境风险防范设备的建设和正常运行监管，</w:t>
                  </w:r>
                  <w:r>
                    <w:rPr>
                      <w:rFonts w:hint="eastAsia"/>
                      <w:sz w:val="18"/>
                      <w:szCs w:val="18"/>
                      <w:lang w:val="en-US" w:eastAsia="zh-CN"/>
                    </w:rPr>
                    <w:t>企业已编制突发环境事件应急预案，本项目实施后风险等级不变，要求建立常态化的企业隐患排查整治监管机制，进行日常隐患排查和专项检查</w:t>
                  </w:r>
                  <w:r>
                    <w:rPr>
                      <w:rFonts w:hint="eastAsia"/>
                      <w:sz w:val="18"/>
                      <w:szCs w:val="18"/>
                    </w:rPr>
                    <w:t>。</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57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57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资源开发效率要求</w:t>
                  </w:r>
                </w:p>
              </w:tc>
              <w:tc>
                <w:tcPr>
                  <w:tcW w:w="299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推进工业集聚区生态化改造，强化企业清洁生产改造，推进节水型企业、节水型工业园区建设，落实煤炭消费减量替代要求，提高资源能源利用效率。</w:t>
                  </w:r>
                </w:p>
              </w:tc>
              <w:tc>
                <w:tcPr>
                  <w:tcW w:w="2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企业将配合相关部门对工业集聚区的生态化改造，强化企业清洁生产改造，推进节水型企业、节水型工业园区的建设以及提高资源能源利用效率等工作。</w:t>
                  </w:r>
                </w:p>
              </w:tc>
              <w:tc>
                <w:tcPr>
                  <w:tcW w:w="5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bl>
          <w:p>
            <w:pPr>
              <w:bidi w:val="0"/>
              <w:rPr>
                <w:rFonts w:hint="eastAsia"/>
              </w:rPr>
            </w:pPr>
            <w:r>
              <w:rPr>
                <w:rFonts w:hint="eastAsia"/>
              </w:rPr>
              <w:t>综上，本项目的实施满足“三线一单”的相关要求。</w:t>
            </w:r>
          </w:p>
          <w:p>
            <w:pPr>
              <w:pStyle w:val="6"/>
              <w:bidi w:val="0"/>
              <w:rPr>
                <w:rFonts w:hint="eastAsia"/>
              </w:rPr>
            </w:pPr>
            <w:r>
              <w:rPr>
                <w:rFonts w:hint="eastAsia"/>
                <w:lang w:val="en-US" w:eastAsia="zh-CN"/>
              </w:rPr>
              <w:t>1.3.2</w:t>
            </w:r>
            <w:r>
              <w:rPr>
                <w:rFonts w:hint="eastAsia"/>
              </w:rPr>
              <w:t>排放污染物应当符合国家、省规定的污染物排放标准符合性</w:t>
            </w:r>
          </w:p>
          <w:p>
            <w:pPr>
              <w:bidi w:val="0"/>
              <w:rPr>
                <w:rFonts w:hint="eastAsia"/>
              </w:rPr>
            </w:pPr>
            <w:r>
              <w:rPr>
                <w:rFonts w:hint="eastAsia"/>
              </w:rPr>
              <w:t>根据工程分析及环境影响分析，项目废气、废水、噪声经处理后均能达标排放，各种固体废物均可得到妥善处置，对环境的影响可接受，环境功能可维持现状。因此，本项目的污染物排放符合排放标准。</w:t>
            </w:r>
          </w:p>
          <w:p>
            <w:pPr>
              <w:pStyle w:val="6"/>
              <w:bidi w:val="0"/>
              <w:rPr>
                <w:rFonts w:hint="eastAsia"/>
              </w:rPr>
            </w:pPr>
            <w:r>
              <w:rPr>
                <w:rFonts w:hint="eastAsia"/>
                <w:lang w:val="en-US" w:eastAsia="zh-CN"/>
              </w:rPr>
              <w:t>1.3.3</w:t>
            </w:r>
            <w:r>
              <w:rPr>
                <w:rFonts w:hint="eastAsia"/>
              </w:rPr>
              <w:t>重点污染物排放总量控制要求符合性</w:t>
            </w:r>
          </w:p>
          <w:p>
            <w:pPr>
              <w:bidi w:val="0"/>
            </w:pPr>
            <w:r>
              <w:rPr>
                <w:rFonts w:hint="eastAsia"/>
              </w:rPr>
              <w:t>本项目实施后新增的污染物排放总量，将在</w:t>
            </w:r>
            <w:r>
              <w:rPr>
                <w:rFonts w:hint="eastAsia"/>
                <w:lang w:val="en-US" w:eastAsia="zh-CN"/>
              </w:rPr>
              <w:t>区域内按照要求进行总量削减平衡</w:t>
            </w:r>
            <w:r>
              <w:rPr>
                <w:rFonts w:hint="eastAsia"/>
              </w:rPr>
              <w:t>，符合重点污染物排放总量控制要求。</w:t>
            </w:r>
          </w:p>
          <w:p>
            <w:pPr>
              <w:pStyle w:val="6"/>
              <w:bidi w:val="0"/>
              <w:rPr>
                <w:rFonts w:hint="eastAsia"/>
              </w:rPr>
            </w:pPr>
            <w:r>
              <w:rPr>
                <w:rFonts w:hint="eastAsia"/>
                <w:lang w:val="en-US" w:eastAsia="zh-CN"/>
              </w:rPr>
              <w:t>1.3.4</w:t>
            </w:r>
            <w:r>
              <w:rPr>
                <w:rFonts w:hint="eastAsia"/>
              </w:rPr>
              <w:t>建设项目应当符合国土空间规划、国家和省产业政策等要求符合性</w:t>
            </w:r>
          </w:p>
          <w:p>
            <w:pPr>
              <w:bidi w:val="0"/>
              <w:rPr>
                <w:rFonts w:hint="eastAsia"/>
              </w:rPr>
            </w:pPr>
            <w:r>
              <w:rPr>
                <w:rFonts w:hint="eastAsia"/>
              </w:rPr>
              <w:t>本项目选址于尖山新区，根据土地证，本项目选址用地用途为工业。因此本项目选址符合海宁市城市总体规划及土地利用规划。根据《产业结构调整指导目录（2024 年本）》，该项目不属于限制类和淘汰类项目，属于允许类项目；项目不属于《市场准入负面清单》（2025 年版）中的禁止准入类；项目用地不属于《浙江省限制用地项目目录(2014 年本)》和《浙江省禁止用地项目目录(2014 年本)》中的限制、禁止用地。对照《环境保护综合名录（2021 年版）》，项目不在“高污染”产品名录内，不属于《长江经济带发展负面清单指南（试行，2022 年版）》中第十五条中“禁止在合规园区外新建、扩建钢铁、石化、化工、焦化、建材、有色、制浆造纸等高污染项目”。</w:t>
            </w:r>
          </w:p>
          <w:p>
            <w:pPr>
              <w:bidi w:val="0"/>
              <w:rPr>
                <w:b/>
                <w:bCs/>
              </w:rPr>
            </w:pPr>
            <w:r>
              <w:rPr>
                <w:rFonts w:hint="eastAsia"/>
                <w:b/>
                <w:bCs/>
              </w:rPr>
              <w:t>因此，项目的建设符合相关的国家及地方产业导向及产业政策。</w:t>
            </w:r>
          </w:p>
          <w:p>
            <w:pPr>
              <w:pStyle w:val="5"/>
              <w:bidi w:val="0"/>
              <w:rPr>
                <w:rFonts w:hint="eastAsia"/>
              </w:rPr>
            </w:pPr>
            <w:r>
              <w:rPr>
                <w:rFonts w:hint="eastAsia"/>
                <w:lang w:val="en-US" w:eastAsia="zh-CN"/>
              </w:rPr>
              <w:t>1.4</w:t>
            </w:r>
            <w:r>
              <w:rPr>
                <w:rFonts w:hint="eastAsia"/>
              </w:rPr>
              <w:t>太湖流域相关政策符合性分析</w:t>
            </w:r>
          </w:p>
          <w:p>
            <w:pPr>
              <w:bidi w:val="0"/>
              <w:rPr>
                <w:rFonts w:hint="eastAsia"/>
              </w:rPr>
            </w:pPr>
            <w:r>
              <w:rPr>
                <w:rFonts w:hint="eastAsia"/>
              </w:rPr>
              <w:t>根据原环境保护部公告 2008 年第 30 号《关于太湖流域执行国家污染物排放标准水污染物特别排放限值行政区域范围的公告》，嘉兴市属于太湖流域行政区域，项目建设应符合《太湖流域管理条例》相关要求，符合性分析如下：</w:t>
            </w:r>
          </w:p>
          <w:p>
            <w:pPr>
              <w:bidi w:val="0"/>
              <w:jc w:val="center"/>
              <w:rPr>
                <w:b/>
                <w:bCs/>
              </w:rPr>
            </w:pPr>
            <w:r>
              <w:rPr>
                <w:rFonts w:hint="eastAsia"/>
                <w:b/>
                <w:bCs/>
              </w:rPr>
              <w:t>表</w:t>
            </w:r>
            <w:r>
              <w:rPr>
                <w:rFonts w:hint="eastAsia"/>
                <w:b/>
                <w:bCs/>
                <w:lang w:val="en-US" w:eastAsia="zh-CN"/>
              </w:rPr>
              <w:t xml:space="preserve">1.4-1 </w:t>
            </w:r>
            <w:r>
              <w:rPr>
                <w:rFonts w:hint="eastAsia"/>
                <w:b/>
                <w:bCs/>
              </w:rPr>
              <w:t xml:space="preserve"> 《太湖流域管理条例》符合性分析表（摘录）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4154"/>
              <w:gridCol w:w="2020"/>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序号</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内容</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baseline"/>
                      <w:lang w:val="en-US" w:eastAsia="zh-CN"/>
                    </w:rPr>
                  </w:pPr>
                  <w:r>
                    <w:rPr>
                      <w:rFonts w:hint="eastAsia"/>
                      <w:sz w:val="18"/>
                      <w:szCs w:val="18"/>
                      <w:vertAlign w:val="baseline"/>
                      <w:lang w:val="en-US" w:eastAsia="zh-CN"/>
                    </w:rPr>
                    <w:t>本项目情况</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baseline"/>
                      <w:lang w:val="en-US" w:eastAsia="zh-CN"/>
                    </w:rPr>
                  </w:pPr>
                  <w:r>
                    <w:rPr>
                      <w:rFonts w:hint="eastAsia"/>
                      <w:sz w:val="18"/>
                      <w:szCs w:val="18"/>
                      <w:vertAlign w:val="baseline"/>
                      <w:lang w:val="en-US"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第八条</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禁止在太湖流域饮用水水源保护区内设置排污口、有毒有害物品仓库以及垃圾场；已经设置的，当地县级人民政府应当责令拆除或者关闭。</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本项目位于尖山新区，不属于太湖流域饮用水水源保护区范围。</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第二十八条</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排污单位排放水污染物，不得超过经核定的水污染物排放总量，并应当按照规定设置便于检查、采样的规范化排污口，悬挂标志牌：不得私设暗管或者采取其他规避监管的方式排放水污染物。</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vertAlign w:val="baseline"/>
                    </w:rPr>
                  </w:pPr>
                  <w:r>
                    <w:rPr>
                      <w:rFonts w:hint="eastAsia"/>
                      <w:sz w:val="18"/>
                      <w:szCs w:val="18"/>
                      <w:vertAlign w:val="baseline"/>
                    </w:rPr>
                    <w:t>本项目严格实施总量控制制度，项目废水纳管进入尖山污水处理厂，最终排入杭州湾，不排入太湖流域。企业按照规定设置便于检查、采样的规范化排污口，悬挂标志牌。</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禁止在太湖流域设置不符合国家产业政策和水环境综合治理要求的造纸、制革、酒精、淀粉、冶金、酿造、印染、电镀等排放水污染物的生产项目，现有的生产项目不能实现达标排放的，应当依法关闭。</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项目不属于所列行业。</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在太湖流域新设企业应当符合国家规定的清洁生产要求，现有的企业尚未达到清洁生产要求的，应当按照清洁生产规划要求进行技术改造，两省一市人民政府应当加强监督检查。</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项目生产工艺较为成熟，设备较为先进，污染物采取措施后达标排放，污染物排放量较少。</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第二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十九</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条</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新孟河、望虞河以外的主要入太湖河道，自河口1万米上溯至5万米河道岸线内及其岸线两侧各1000米范围内，禁止下列行为：（一）新建、扩建化工、医药生产项目：（二）新建、扩建污水集中处理设施排污口以外的排污口；（三）扩大水产养殖规模。</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不涉及。</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第三</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十条</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太湖岸线内和岸线周边5000米范围内，淀山湖岸线内和岸线周边2000米范围内，太浦河、新孟河、望虞河岸线内和岸线两侧各1000米范围内，其他主要入太湖河道自河口上溯至1万米河道岸线内及其岸线两侧各1000米范围内，禁止下列行为：（一）设置剧毒物质、危险化学品的贮存、输送设施和废物回收场、垃圾场；（二）设置水上餐饮经营设施；（三）新建、扩建高尔夫球场；（四）新建、扩建畜禽养殖场：（五）新建、扩建向水体排放污染物的项目；（六）本条例第二十九条规定的行为。</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不涉及。</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第三</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十三</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条</w:t>
                  </w:r>
                </w:p>
              </w:tc>
              <w:tc>
                <w:tcPr>
                  <w:tcW w:w="415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太湖流域的畜禽养殖场、养殖专业合作社、养殖小区应当对畜禽粪便、废水进行无害化处理，实现污水达标排放；达到两省一市人民政府规定规模的，应当配套建设沼气池、发酵池等畜禽粪便、废水综合利用或者无害化处理设施，并保证其正常运转。</w:t>
                  </w:r>
                </w:p>
              </w:tc>
              <w:tc>
                <w:tcPr>
                  <w:tcW w:w="20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不涉及畜禽养殖场、养殖专业合作社、养殖小区。</w:t>
                  </w:r>
                </w:p>
              </w:tc>
              <w:tc>
                <w:tcPr>
                  <w:tcW w:w="45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bl>
          <w:p>
            <w:pPr>
              <w:bidi w:val="0"/>
              <w:rPr>
                <w:rFonts w:hint="eastAsia"/>
              </w:rPr>
            </w:pPr>
            <w:r>
              <w:rPr>
                <w:rFonts w:hint="eastAsia"/>
              </w:rPr>
              <w:t>综上所述，本项目的实施符合《太湖流域管理条例》的相关要求。</w:t>
            </w:r>
          </w:p>
          <w:p>
            <w:pPr>
              <w:pStyle w:val="5"/>
              <w:bidi w:val="0"/>
              <w:rPr>
                <w:rFonts w:hint="eastAsia"/>
              </w:rPr>
            </w:pPr>
            <w:r>
              <w:rPr>
                <w:rFonts w:hint="eastAsia"/>
                <w:lang w:val="en-US" w:eastAsia="zh-CN"/>
              </w:rPr>
              <w:t>1.5</w:t>
            </w:r>
            <w:r>
              <w:rPr>
                <w:rFonts w:hint="eastAsia"/>
              </w:rPr>
              <w:t>《长江经济带发展负面清单指南（试行，2022年版）》浙江省实施细则符合性分析</w:t>
            </w:r>
          </w:p>
          <w:p>
            <w:pPr>
              <w:bidi w:val="0"/>
              <w:rPr>
                <w:rFonts w:hint="eastAsia"/>
              </w:rPr>
            </w:pPr>
            <w:r>
              <w:rPr>
                <w:rFonts w:hint="eastAsia"/>
              </w:rPr>
              <w:t>对照《长江经济带发展负面清单指南（试行，2022 年版）》浙江省实施细则，本项目符合性分析见下表。</w:t>
            </w:r>
          </w:p>
          <w:p>
            <w:pPr>
              <w:bidi w:val="0"/>
              <w:ind w:left="0" w:leftChars="0" w:firstLine="0" w:firstLineChars="0"/>
              <w:jc w:val="center"/>
              <w:rPr>
                <w:b/>
                <w:bCs/>
              </w:rPr>
            </w:pPr>
            <w:r>
              <w:rPr>
                <w:rFonts w:hint="eastAsia"/>
                <w:b/>
                <w:bCs/>
              </w:rPr>
              <w:t>表</w:t>
            </w:r>
            <w:r>
              <w:rPr>
                <w:rFonts w:hint="eastAsia"/>
                <w:b/>
                <w:bCs/>
                <w:lang w:val="en-US" w:eastAsia="zh-CN"/>
              </w:rPr>
              <w:t xml:space="preserve">1.5-1 </w:t>
            </w:r>
            <w:r>
              <w:rPr>
                <w:rFonts w:hint="eastAsia"/>
                <w:b/>
                <w:bCs/>
              </w:rPr>
              <w:t xml:space="preserve"> 《长江经济带发展负面清单指南（试行，2022 年版）》浙江省实施细则符合性分析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2759"/>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56" w:type="dxa"/>
                  <w:vAlign w:val="center"/>
                </w:tcPr>
                <w:p>
                  <w:pPr>
                    <w:pStyle w:val="20"/>
                    <w:rPr>
                      <w:b/>
                      <w:bCs/>
                    </w:rPr>
                  </w:pPr>
                  <w:r>
                    <w:t>内容</w:t>
                  </w:r>
                </w:p>
              </w:tc>
              <w:tc>
                <w:tcPr>
                  <w:tcW w:w="2485" w:type="dxa"/>
                  <w:vAlign w:val="center"/>
                </w:tcPr>
                <w:p>
                  <w:pPr>
                    <w:pStyle w:val="20"/>
                    <w:rPr>
                      <w:b/>
                      <w:bCs/>
                    </w:rPr>
                  </w:pPr>
                  <w:r>
                    <w:t>符合性分析</w:t>
                  </w:r>
                </w:p>
              </w:tc>
              <w:tc>
                <w:tcPr>
                  <w:tcW w:w="659" w:type="dxa"/>
                  <w:vAlign w:val="center"/>
                </w:tcPr>
                <w:p>
                  <w:pPr>
                    <w:pStyle w:val="20"/>
                  </w:pPr>
                  <w:r>
                    <w:t>是否</w:t>
                  </w:r>
                </w:p>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禁止建设不符合《全国沿海港口布局规划》、《全国内河航道与港口布局规划》、《浙江省沿海港口布局规划》、《浙江省内河航运发展规划》以及项目所在地港口总体规划、国土空间规划的港口码头项目。</w:t>
                  </w:r>
                </w:p>
              </w:tc>
              <w:tc>
                <w:tcPr>
                  <w:tcW w:w="2485" w:type="dxa"/>
                  <w:vAlign w:val="center"/>
                </w:tcPr>
                <w:p>
                  <w:pPr>
                    <w:pStyle w:val="20"/>
                    <w:rPr>
                      <w:b/>
                      <w:bCs/>
                    </w:rPr>
                  </w:pPr>
                  <w:r>
                    <w:t>本项目不涉及</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自然保护地的岸线和河段范围内投资建设不符合《浙江省自然保护地建设项目准入负面清单（试行）》的项目。禁止在自然保护地的岸线和河段范围内采石、采砂、采土、砍伐及其他严重改变地形地貌、破坏自然生态、影响自然景观的开发利用行为。禁止在I级林地、一级国家级公益林内建设项目。</w:t>
                  </w:r>
                </w:p>
              </w:tc>
              <w:tc>
                <w:tcPr>
                  <w:tcW w:w="2485" w:type="dxa"/>
                  <w:vAlign w:val="center"/>
                </w:tcPr>
                <w:p>
                  <w:pPr>
                    <w:pStyle w:val="20"/>
                    <w:rPr>
                      <w:b/>
                      <w:bCs/>
                    </w:rPr>
                  </w:pPr>
                  <w:r>
                    <w:t>本项目不</w:t>
                  </w:r>
                  <w:r>
                    <w:rPr>
                      <w:rFonts w:hint="eastAsia"/>
                    </w:rPr>
                    <w:t>在自然保护地的岸线和河段范围内；不在I级林地、一级国家级公益林范围内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禁止在饮用水水源一级保护区、二级保护区、准保护区的岸线和河段范围内投资建设不符合《浙江省饮用水源保护条例》的项目。</w:t>
                  </w:r>
                </w:p>
              </w:tc>
              <w:tc>
                <w:tcPr>
                  <w:tcW w:w="2485" w:type="dxa"/>
                  <w:vAlign w:val="center"/>
                </w:tcPr>
                <w:p>
                  <w:pPr>
                    <w:pStyle w:val="20"/>
                    <w:rPr>
                      <w:b/>
                      <w:bCs/>
                    </w:rPr>
                  </w:pPr>
                  <w:r>
                    <w:t>本项目不在</w:t>
                  </w:r>
                  <w:r>
                    <w:rPr>
                      <w:rFonts w:hint="eastAsia"/>
                    </w:rPr>
                    <w:t>饮用水水源一级保护区、二级保护区、准保护区的岸线和河段范围内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禁止在水产种质资源保护区的岸线和河段范围内新建围湖造田、围海造地或围填海等投资建设项目。</w:t>
                  </w:r>
                </w:p>
              </w:tc>
              <w:tc>
                <w:tcPr>
                  <w:tcW w:w="2485" w:type="dxa"/>
                  <w:vAlign w:val="center"/>
                </w:tcPr>
                <w:p>
                  <w:pPr>
                    <w:pStyle w:val="20"/>
                    <w:rPr>
                      <w:b/>
                      <w:bCs/>
                    </w:rPr>
                  </w:pPr>
                  <w:r>
                    <w:rPr>
                      <w:rFonts w:hint="eastAsia"/>
                    </w:rPr>
                    <w:t>本项目不在水产种质资源保护区的岸线和河段范围内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在国家湿地公园的岸线和河段范围内：（一）禁止挖沙、采矿；（二）禁止任何不符合主体功能定位的投资建设项目；（三）禁止开（围）垦、填埋或者排干湿地；（四）禁止截断湿地水源；（五）禁止倾倒有毒有害物质、废弃物、垃圾；（六）禁止破坏野生动物栖息地和迁徙通道、鱼类洄游通道，禁止滥采滥捕野生动植物；（七）禁止引入外来物种；（八）禁止擅自放牧、捕捞、取土、取水、排污、放生；（九）禁止其他破坏湿地及其生态功能的活动。</w:t>
                  </w:r>
                </w:p>
              </w:tc>
              <w:tc>
                <w:tcPr>
                  <w:tcW w:w="2485" w:type="dxa"/>
                  <w:vAlign w:val="center"/>
                </w:tcPr>
                <w:p>
                  <w:pPr>
                    <w:pStyle w:val="20"/>
                    <w:rPr>
                      <w:b/>
                      <w:bCs/>
                    </w:rPr>
                  </w:pPr>
                  <w:r>
                    <w:rPr>
                      <w:rFonts w:hint="eastAsia"/>
                    </w:rPr>
                    <w:t>本项目不在国家湿地公园的岸线和河段范围内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禁止违法利用、占用长江流域河湖岸线。</w:t>
                  </w:r>
                </w:p>
              </w:tc>
              <w:tc>
                <w:tcPr>
                  <w:tcW w:w="2485" w:type="dxa"/>
                  <w:vAlign w:val="center"/>
                </w:tcPr>
                <w:p>
                  <w:pPr>
                    <w:pStyle w:val="20"/>
                    <w:rPr>
                      <w:b/>
                      <w:bCs/>
                    </w:rPr>
                  </w:pPr>
                  <w:r>
                    <w:rPr>
                      <w:rFonts w:hint="eastAsia"/>
                    </w:rPr>
                    <w:t>本项目不利用、占用长江流域河湖岸线</w:t>
                  </w:r>
                </w:p>
              </w:tc>
              <w:tc>
                <w:tcPr>
                  <w:tcW w:w="659" w:type="dxa"/>
                  <w:vAlign w:val="center"/>
                </w:tcPr>
                <w:p>
                  <w:pPr>
                    <w:pStyle w:val="20"/>
                    <w:rPr>
                      <w:b/>
                      <w:bCs/>
                    </w:rPr>
                  </w:pPr>
                  <w:r>
                    <w:rPr>
                      <w:rFonts w:hint="eastAsia"/>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禁止在《长江岸线保护和开发利用总体规划》划定的岸线保护区和保留区内投资建设除事关公共安全及公众利益的防洪护岸、河道治理、供水、生态环境保护、国家重要基础设施以外的项目。</w:t>
                  </w:r>
                </w:p>
              </w:tc>
              <w:tc>
                <w:tcPr>
                  <w:tcW w:w="2485" w:type="dxa"/>
                  <w:vAlign w:val="center"/>
                </w:tcPr>
                <w:p>
                  <w:pPr>
                    <w:pStyle w:val="20"/>
                    <w:rPr>
                      <w:b/>
                      <w:bCs/>
                    </w:rPr>
                  </w:pPr>
                  <w:r>
                    <w:rPr>
                      <w:rFonts w:hint="eastAsia"/>
                    </w:rPr>
                    <w:t>本项目</w:t>
                  </w:r>
                  <w:r>
                    <w:t>不在</w:t>
                  </w:r>
                  <w:r>
                    <w:rPr>
                      <w:rFonts w:hint="eastAsia"/>
                    </w:rPr>
                    <w:t>《长江岸线保护和开发利用总体规划》划定的岸线保护区和保留区内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禁止在《全国重要江河湖泊水功能区划》划定的河段及湖泊保护区、保留区内投资建设不利于水资源及自然生态保护的项目。</w:t>
                  </w:r>
                </w:p>
              </w:tc>
              <w:tc>
                <w:tcPr>
                  <w:tcW w:w="2485" w:type="dxa"/>
                  <w:vAlign w:val="center"/>
                </w:tcPr>
                <w:p>
                  <w:pPr>
                    <w:pStyle w:val="20"/>
                    <w:rPr>
                      <w:b/>
                      <w:bCs/>
                    </w:rPr>
                  </w:pPr>
                  <w:r>
                    <w:rPr>
                      <w:rFonts w:hint="eastAsia"/>
                    </w:rPr>
                    <w:t>本项目</w:t>
                  </w:r>
                  <w:r>
                    <w:t>不在</w:t>
                  </w:r>
                  <w:r>
                    <w:rPr>
                      <w:rFonts w:hint="eastAsia"/>
                    </w:rPr>
                    <w:t>《全国重要江河湖泊水功能区划》划定的河段及湖泊保护区、保留区内</w:t>
                  </w:r>
                </w:p>
              </w:tc>
              <w:tc>
                <w:tcPr>
                  <w:tcW w:w="659" w:type="dxa"/>
                  <w:vAlign w:val="center"/>
                </w:tcPr>
                <w:p>
                  <w:pPr>
                    <w:pStyle w:val="20"/>
                    <w:rPr>
                      <w:b/>
                      <w:bCs/>
                    </w:rPr>
                  </w:pPr>
                  <w:r>
                    <w:rPr>
                      <w:rFonts w:hint="eastAsia"/>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禁止未经许可在长江支流及湖泊新设、改设或扩大排污口。</w:t>
                  </w:r>
                </w:p>
              </w:tc>
              <w:tc>
                <w:tcPr>
                  <w:tcW w:w="2485" w:type="dxa"/>
                  <w:vAlign w:val="center"/>
                </w:tcPr>
                <w:p>
                  <w:pPr>
                    <w:pStyle w:val="20"/>
                    <w:rPr>
                      <w:b/>
                      <w:bCs/>
                    </w:rPr>
                  </w:pPr>
                  <w:r>
                    <w:rPr>
                      <w:rFonts w:hint="eastAsia"/>
                    </w:rPr>
                    <w:t>本项目不新设、改设或扩大排污口</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禁止在长江支流、太湖等重要岸线一公里范围内新建、扩建化工园区和化工项目。</w:t>
                  </w:r>
                </w:p>
              </w:tc>
              <w:tc>
                <w:tcPr>
                  <w:tcW w:w="2485" w:type="dxa"/>
                  <w:vAlign w:val="center"/>
                </w:tcPr>
                <w:p>
                  <w:pPr>
                    <w:pStyle w:val="20"/>
                    <w:rPr>
                      <w:b/>
                      <w:bCs/>
                    </w:rPr>
                  </w:pPr>
                  <w:r>
                    <w:rPr>
                      <w:rFonts w:hint="eastAsia"/>
                    </w:rPr>
                    <w:t>本项目</w:t>
                  </w:r>
                  <w:r>
                    <w:t>不</w:t>
                  </w:r>
                  <w:r>
                    <w:rPr>
                      <w:rFonts w:hint="eastAsia"/>
                    </w:rPr>
                    <w:t>在长江支流、太湖等重要岸线一公里范围内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禁止在长江重要支流岸线一公里范围内新建、改建、扩建尾矿库、冶炼渣库和磷石膏库，以提升安全、生态环境保护水平为目的的改扩建除外。</w:t>
                  </w:r>
                </w:p>
              </w:tc>
              <w:tc>
                <w:tcPr>
                  <w:tcW w:w="2485" w:type="dxa"/>
                  <w:vAlign w:val="center"/>
                </w:tcPr>
                <w:p>
                  <w:pPr>
                    <w:pStyle w:val="20"/>
                    <w:rPr>
                      <w:b/>
                      <w:bCs/>
                    </w:rPr>
                  </w:pPr>
                  <w:r>
                    <w:rPr>
                      <w:rFonts w:hint="eastAsia"/>
                    </w:rPr>
                    <w:t>本项目</w:t>
                  </w:r>
                  <w:r>
                    <w:t>不</w:t>
                  </w:r>
                  <w:r>
                    <w:rPr>
                      <w:rFonts w:hint="eastAsia"/>
                    </w:rPr>
                    <w:t>在长江重要支流岸线一公里范围内</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禁止在合规园区外新建、扩建钢铁、石化、化工、焦化、建材、有色、制浆造纸等高污染项目。高污染项目清单参照生态环境部《环境保护综合目录》中的高污染产品目录执行</w:t>
                  </w:r>
                </w:p>
              </w:tc>
              <w:tc>
                <w:tcPr>
                  <w:tcW w:w="2485" w:type="dxa"/>
                  <w:vAlign w:val="center"/>
                </w:tcPr>
                <w:p>
                  <w:pPr>
                    <w:pStyle w:val="20"/>
                    <w:rPr>
                      <w:b/>
                      <w:bCs/>
                    </w:rPr>
                  </w:pPr>
                  <w:r>
                    <w:rPr>
                      <w:rFonts w:hint="eastAsia"/>
                    </w:rPr>
                    <w:t>本项目不属于《环境保护综合名录（2021年本）》的项目。</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禁止新建、扩建不符合国家石化、现代煤化工等产业布局规划的项目。</w:t>
                  </w:r>
                </w:p>
              </w:tc>
              <w:tc>
                <w:tcPr>
                  <w:tcW w:w="2485" w:type="dxa"/>
                  <w:vAlign w:val="center"/>
                </w:tcPr>
                <w:p>
                  <w:pPr>
                    <w:pStyle w:val="20"/>
                    <w:rPr>
                      <w:b/>
                      <w:bCs/>
                    </w:rPr>
                  </w:pPr>
                  <w:r>
                    <w:t>本项目不涉及</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新建、扩建法律法规和相关政策明令禁止的落后产能项目，对列入《产业结构调整指导目录》淘汰类中的落后生产工艺装备、落后产品投资项目，列入《外商投资准入特别管理措施（负面清单）》的外商投资项目，一律不得核准、备案。禁止向落后产能项目和严重过剩产能行业项目供应土地</w:t>
                  </w:r>
                </w:p>
              </w:tc>
              <w:tc>
                <w:tcPr>
                  <w:tcW w:w="2485" w:type="dxa"/>
                  <w:vAlign w:val="center"/>
                </w:tcPr>
                <w:p>
                  <w:pPr>
                    <w:pStyle w:val="20"/>
                    <w:rPr>
                      <w:b/>
                      <w:bCs/>
                    </w:rPr>
                  </w:pPr>
                  <w:r>
                    <w:rPr>
                      <w:rFonts w:hint="eastAsia"/>
                    </w:rPr>
                    <w:t>本项目</w:t>
                  </w:r>
                  <w:r>
                    <w:t>不属于</w:t>
                  </w:r>
                  <w:r>
                    <w:rPr>
                      <w:rFonts w:hint="eastAsia"/>
                    </w:rPr>
                    <w:t>《产业结构调整指导目录</w:t>
                  </w:r>
                  <w:r>
                    <w:rPr>
                      <w:rFonts w:hint="eastAsia"/>
                      <w:lang w:eastAsia="zh-CN"/>
                    </w:rPr>
                    <w:t>（</w:t>
                  </w:r>
                  <w:r>
                    <w:rPr>
                      <w:rFonts w:hint="eastAsia"/>
                      <w:lang w:val="en-US" w:eastAsia="zh-CN"/>
                    </w:rPr>
                    <w:t>2024年本）</w:t>
                  </w:r>
                  <w:r>
                    <w:rPr>
                      <w:rFonts w:hint="eastAsia"/>
                    </w:rPr>
                    <w:t>》淘汰类中的落后生产工艺装备、落后产品投资项目；本项目不涉及外商投资；本项目不属于落后产能项目和严重过剩产能行业项目</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禁止新建、扩建不符合国家产能置换要求的严重过剩产能行业的项目。部门、机构禁止办理相关的土地（海域）供应、能评、环评审批和新增授信支持等业务。</w:t>
                  </w:r>
                </w:p>
              </w:tc>
              <w:tc>
                <w:tcPr>
                  <w:tcW w:w="2485" w:type="dxa"/>
                  <w:vAlign w:val="center"/>
                </w:tcPr>
                <w:p>
                  <w:pPr>
                    <w:pStyle w:val="20"/>
                    <w:rPr>
                      <w:b/>
                      <w:bCs/>
                    </w:rPr>
                  </w:pPr>
                  <w:r>
                    <w:rPr>
                      <w:rFonts w:hint="eastAsia"/>
                    </w:rPr>
                    <w:t>本项目不涉及</w:t>
                  </w:r>
                </w:p>
              </w:tc>
              <w:tc>
                <w:tcPr>
                  <w:tcW w:w="659" w:type="dxa"/>
                  <w:vAlign w:val="center"/>
                </w:tcPr>
                <w:p>
                  <w:pPr>
                    <w:pStyle w:val="20"/>
                    <w:rPr>
                      <w:b/>
                      <w:bCs/>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禁止新建、扩建不符合要求的高耗能高排放项目。</w:t>
                  </w:r>
                </w:p>
              </w:tc>
              <w:tc>
                <w:tcPr>
                  <w:tcW w:w="2485" w:type="dxa"/>
                  <w:vAlign w:val="center"/>
                </w:tcPr>
                <w:p>
                  <w:pPr>
                    <w:pStyle w:val="20"/>
                    <w:rPr>
                      <w:b/>
                      <w:bCs/>
                    </w:rPr>
                  </w:pPr>
                  <w:r>
                    <w:rPr>
                      <w:rFonts w:hint="eastAsia"/>
                    </w:rPr>
                    <w:t>本项目不属于高耗能高排放项目。</w:t>
                  </w:r>
                </w:p>
              </w:tc>
              <w:tc>
                <w:tcPr>
                  <w:tcW w:w="659" w:type="dxa"/>
                  <w:vAlign w:val="center"/>
                </w:tcPr>
                <w:p>
                  <w:pPr>
                    <w:pStyle w:val="20"/>
                    <w:rPr>
                      <w:b/>
                      <w:bCs/>
                    </w:rPr>
                  </w:pPr>
                  <w:r>
                    <w:rPr>
                      <w:rFonts w:hint="eastAsia"/>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6" w:type="dxa"/>
                  <w:vAlign w:val="center"/>
                </w:tcPr>
                <w:p>
                  <w:pPr>
                    <w:pStyle w:val="20"/>
                    <w:rPr>
                      <w:b/>
                      <w:bCs/>
                    </w:rPr>
                  </w:pPr>
                  <w:r>
                    <w:rPr>
                      <w:rFonts w:hint="eastAsia"/>
                    </w:rPr>
                    <w:t>禁止在水库和河湖等水利工程管理范围内堆放物料，倾倒土、石、矿渣、垃圾等物质。</w:t>
                  </w:r>
                </w:p>
              </w:tc>
              <w:tc>
                <w:tcPr>
                  <w:tcW w:w="2485" w:type="dxa"/>
                  <w:vAlign w:val="center"/>
                </w:tcPr>
                <w:p>
                  <w:pPr>
                    <w:pStyle w:val="20"/>
                    <w:rPr>
                      <w:b/>
                      <w:bCs/>
                    </w:rPr>
                  </w:pPr>
                  <w:r>
                    <w:t>本项目不涉及</w:t>
                  </w:r>
                </w:p>
              </w:tc>
              <w:tc>
                <w:tcPr>
                  <w:tcW w:w="659" w:type="dxa"/>
                  <w:vAlign w:val="center"/>
                </w:tcPr>
                <w:p>
                  <w:pPr>
                    <w:pStyle w:val="20"/>
                    <w:rPr>
                      <w:b/>
                      <w:bCs/>
                    </w:rPr>
                  </w:pPr>
                  <w:r>
                    <w:rPr>
                      <w:rFonts w:hint="eastAsia"/>
                    </w:rPr>
                    <w:t>符合</w:t>
                  </w:r>
                </w:p>
              </w:tc>
            </w:tr>
          </w:tbl>
          <w:p>
            <w:pPr>
              <w:bidi w:val="0"/>
            </w:pPr>
            <w:r>
              <w:rPr>
                <w:rFonts w:hint="eastAsia"/>
              </w:rPr>
              <w:t>综上所述，本项目的实施符合《长江经济带发展负面清单指南（试行，2022年版）》浙江省实施细则的相关要求。</w:t>
            </w:r>
          </w:p>
          <w:p>
            <w:pPr>
              <w:pStyle w:val="5"/>
              <w:bidi w:val="0"/>
              <w:rPr>
                <w:rFonts w:hint="eastAsia"/>
                <w:lang w:val="en-US" w:eastAsia="zh-CN"/>
              </w:rPr>
            </w:pPr>
            <w:r>
              <w:rPr>
                <w:rFonts w:hint="eastAsia"/>
                <w:lang w:val="en-US" w:eastAsia="zh-CN"/>
              </w:rPr>
              <w:t>1.6《浙江省“十四五”挥发性有机物综合治理方案》符合性分析</w:t>
            </w:r>
          </w:p>
          <w:p>
            <w:pPr>
              <w:bidi w:val="0"/>
              <w:rPr>
                <w:rFonts w:hint="default" w:eastAsia="宋体"/>
                <w:lang w:val="en-US" w:eastAsia="zh-CN"/>
              </w:rPr>
            </w:pPr>
            <w:r>
              <w:rPr>
                <w:rFonts w:hint="eastAsia"/>
                <w:lang w:val="en-US" w:eastAsia="zh-CN"/>
              </w:rPr>
              <w:t>对照《浙江省“十四五”挥发性有机物综合治理方案》，相关符合性见下表。</w:t>
            </w:r>
          </w:p>
          <w:p>
            <w:pPr>
              <w:ind w:firstLine="0" w:firstLineChars="0"/>
              <w:jc w:val="center"/>
              <w:rPr>
                <w:b/>
                <w:bCs/>
                <w:sz w:val="18"/>
                <w:szCs w:val="18"/>
              </w:rPr>
            </w:pPr>
            <w:r>
              <w:rPr>
                <w:b/>
                <w:bCs/>
                <w:sz w:val="18"/>
                <w:szCs w:val="18"/>
              </w:rPr>
              <w:t>表</w:t>
            </w:r>
            <w:r>
              <w:rPr>
                <w:rFonts w:hint="eastAsia"/>
                <w:b/>
                <w:bCs/>
                <w:sz w:val="18"/>
                <w:szCs w:val="18"/>
                <w:lang w:val="en-US" w:eastAsia="zh-CN"/>
              </w:rPr>
              <w:t xml:space="preserve">1.6-1  </w:t>
            </w:r>
            <w:r>
              <w:rPr>
                <w:b/>
                <w:bCs/>
                <w:sz w:val="18"/>
                <w:szCs w:val="18"/>
              </w:rPr>
              <w:t>《关于印发浙江省</w:t>
            </w:r>
            <w:r>
              <w:rPr>
                <w:rFonts w:hint="eastAsia"/>
                <w:b/>
                <w:bCs/>
                <w:sz w:val="18"/>
                <w:szCs w:val="18"/>
              </w:rPr>
              <w:t>“</w:t>
            </w:r>
            <w:r>
              <w:rPr>
                <w:b/>
                <w:bCs/>
                <w:sz w:val="18"/>
                <w:szCs w:val="18"/>
              </w:rPr>
              <w:t>十四五</w:t>
            </w:r>
            <w:r>
              <w:rPr>
                <w:rFonts w:hint="eastAsia"/>
                <w:b/>
                <w:bCs/>
                <w:sz w:val="18"/>
                <w:szCs w:val="18"/>
              </w:rPr>
              <w:t>”</w:t>
            </w:r>
            <w:r>
              <w:rPr>
                <w:b/>
                <w:bCs/>
                <w:sz w:val="18"/>
                <w:szCs w:val="18"/>
              </w:rPr>
              <w:t>挥发性有机物综合治理方案的通知》符合性分析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801"/>
              <w:gridCol w:w="3729"/>
              <w:gridCol w:w="1502"/>
              <w:gridCol w:w="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源项</w:t>
                  </w: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检查</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环节</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检查要点</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企业情况</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是否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大力推进绿色生产，强化源头控制</w:t>
                  </w: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全面提升生产工艺绿色化水平</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石化、化工等行业应采用原辅材料利用率高、废弃物产生量少的生产工艺，提升生产装备水平，采用密闭化、连续化、自动化、管道化等生产技术，鼓励工艺装置采取重力流布置，推广采用油品在线调和技术、密闭式循环水冷却系统等。工业涂装行业重点推进使用紧凑式涂装工艺，推广采用辊涂、静电喷涂、高压无气喷涂、空气辅助无气喷涂、热喷涂、超临界二氧化碳喷涂等技术，鼓励企业采用自动化、智能化喷涂设备替代人工喷涂，减少使用空气喷涂技术。包装印刷行业推广使用无溶剂复合、共挤出复合技术，鼓励采用水性凹印、醇水凹印、辐射固化凹印、柔版印刷、无水胶印等印刷工艺。鼓励生产工艺装备落后、在既有基础上整改困难的企业推倒重建，从车间布局、工艺装备等方面全面提升治理水平。</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本项目从事</w:t>
                  </w:r>
                  <w:r>
                    <w:rPr>
                      <w:rFonts w:hint="eastAsia"/>
                      <w:sz w:val="18"/>
                      <w:szCs w:val="18"/>
                      <w:lang w:val="en-US" w:eastAsia="zh-CN"/>
                    </w:rPr>
                    <w:t>储能系统组装生产</w:t>
                  </w:r>
                  <w:r>
                    <w:rPr>
                      <w:rFonts w:hint="eastAsia"/>
                      <w:sz w:val="18"/>
                      <w:szCs w:val="18"/>
                    </w:rPr>
                    <w:t>。采用的工艺设备密闭性好</w:t>
                  </w:r>
                  <w:r>
                    <w:rPr>
                      <w:sz w:val="18"/>
                      <w:szCs w:val="18"/>
                    </w:rPr>
                    <w:t>。</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全面推行工业涂装企业使用低VOCs含量原辅材料</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严格执行《大气污染防治法》第四十六条规定，选用粉末涂料、水性涂料、无溶剂涂料、辐射固化涂料等环境友好型涂料和符合要求的（高固体分）溶剂型涂料。工业涂装企业所使用的水性涂料、溶剂型涂料、无溶剂涂料、辐射固化涂料应符合《低挥发性有机化合物含量涂料产品技术要求》规定的VOCs含量限值要求，并建立台账，记录原辅材料的使用量、废弃量、去向以及VOCs含量。</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本项目不涉及涂料、涂装。</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大力推进低VOCs含量原辅材料的源头替代</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全面排查使用溶剂型工业涂料、油墨、胶粘剂、清洗剂等原辅材料的企业，各地应结合本地产业特点和本方案指导目录，制定低VOCs含量原辅材料源头替代实施计划，明确分行业源头替代时间表，按照“可替尽替、应代尽代”的原则，实施一批替代溶剂型原辅材料的项目。加快低VOCs含量原辅材料研发、生产和应用，在更多技术成熟领域逐渐推广使用低VOCs含量原辅材料，到2025年，溶剂型工业涂料、油墨、胶粘剂等使用量下降比例达到国家要求</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本项目不涉及溶剂型工业涂料、油墨、胶粘剂等原辅材料的使用，涉及的清洗剂</w:t>
                  </w:r>
                  <w:r>
                    <w:rPr>
                      <w:rFonts w:hint="eastAsia"/>
                      <w:sz w:val="18"/>
                      <w:szCs w:val="18"/>
                      <w:lang w:val="en-US" w:eastAsia="zh-CN"/>
                    </w:rPr>
                    <w:t>和结构胶、密封胶</w:t>
                  </w:r>
                  <w:r>
                    <w:rPr>
                      <w:rFonts w:hint="eastAsia"/>
                      <w:sz w:val="18"/>
                      <w:szCs w:val="18"/>
                    </w:rPr>
                    <w:t>符合《清洗剂挥发性有机化合物含量限值》（GB38508-2020）</w:t>
                  </w:r>
                  <w:r>
                    <w:rPr>
                      <w:rFonts w:hint="eastAsia"/>
                      <w:sz w:val="18"/>
                      <w:szCs w:val="18"/>
                      <w:lang w:val="en-US" w:eastAsia="zh-CN"/>
                    </w:rPr>
                    <w:t>和《胶粘剂挥发性有机化合物限量》（GB33372-2020）中相关要求</w:t>
                  </w:r>
                  <w:r>
                    <w:rPr>
                      <w:rFonts w:hint="eastAsia"/>
                      <w:sz w:val="18"/>
                      <w:szCs w:val="18"/>
                    </w:rPr>
                    <w:t>。</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严格生产环节</w:t>
                  </w:r>
                  <w:r>
                    <w:rPr>
                      <w:rFonts w:hint="eastAsia"/>
                      <w:sz w:val="18"/>
                      <w:szCs w:val="18"/>
                    </w:rPr>
                    <w:t>控</w:t>
                  </w:r>
                  <w:r>
                    <w:rPr>
                      <w:sz w:val="18"/>
                      <w:szCs w:val="18"/>
                    </w:rPr>
                    <w:t>制，减少过程泄漏</w:t>
                  </w: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严格控制无组织排放</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在保证安全前提下，加强含VOCs物料全方位、全链条、全环节密闭管理，做好VOCs物料储存、转移和输送、设备与管线组件泄漏、敞开液面逸散以及工艺过程等无组织排放环节的管理。生产应优先采用密闭设备、在密闭空间中操作或采用全密闭集气罩收集方式，原则上应保持微负压状态，并根据相关规范合理设置通风量；采用局部集气罩的，距集气罩开口面最远处的VOCs无组织排放位置控制风速应不低于0.3米/秒。对VOCs物料储罐和污水集输、储存、处理设施开展排查，督促企业按要求开展专项治理。</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项目使用原辅料存放于仓库及化学品仓库，车间生产时密闭。本项目激光清洁、激光焊接、焊后清洁废气经除尘器处理后洁净车间内排放；涂胶废气、打胶废气和擦拭废气在洁净车间内排放。</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全面开展泄漏检测与修复（LDAR）</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石油炼制、石油化学、合成树脂企业严格按照行业排放标准要求开展LDAR工作；其他企业载有气态、液态VOCs物料设备与管线组件密封点大于等于2000个的，应开展LDAR工作。开展LDAR企业3家以上或辖区内开展LDAR企业密封点数量合计1万个以上的县（市、区）应开展LDAR数字化管理，到2022年，15个县（市、区）实现LDAR数字化管理；到2025年，相关重点县（市、区）全面实现LDAR数字化管理。</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本项目原辅料不涉及管道输送。</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规范企业非正常工况排放管理</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引导石化、化工等企业合理安排停检修计划，制定开停工（车）、检修、设备清洗等非正常工况的环境管理制度。在确保安全的前提下，尽可能不在O</w:t>
                  </w:r>
                  <w:r>
                    <w:rPr>
                      <w:rFonts w:hint="eastAsia"/>
                      <w:sz w:val="18"/>
                      <w:szCs w:val="18"/>
                      <w:vertAlign w:val="subscript"/>
                    </w:rPr>
                    <w:t>3</w:t>
                  </w:r>
                  <w:r>
                    <w:rPr>
                      <w:rFonts w:hint="eastAsia"/>
                      <w:sz w:val="18"/>
                      <w:szCs w:val="18"/>
                    </w:rPr>
                    <w:t>污染高发时段（4月下旬—6月上旬和8月下旬—9月，下同）安排全厂开停车、装置整体停工检修和储罐清洗作业等，减少非正常工况VOCs排放；确实不能调整的，应加强清洗、退料、吹扫、放空、晾干等环节的VOCs无组织排放控制，产生的VOCs应收集处理，确保满足安全生产和污染排放控制要求。</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项目不涉及。</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升级改造治理设施，实施高效治理</w:t>
                  </w: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建设适宜高效的治理设施</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企业新建治理设施或对现有治理设施实施改造，应结合排放VOCs产生特征、生产工况等合理选择治理技术，对治理难度大、单一治理工艺难以稳定达标的，要采用多种技术的组合工艺。采用活性炭吸附技术的，吸附装置和活性炭应符合相关技术要求，并按要求足量添加、定期更换活性炭。组织开展使用光催化、光氧化、低温等离子、一次性活性炭或上述组合技术等VOCs治理设施排查，对达不到要求的，应当更换或升级改造，实现稳定达标排放。到2025年，完成5000家低效VOCs治理设施改造升级，石化行业的VOCs综合去除效率达到70%以上，化工、工业涂装、包装印刷、合成革等行业的VOCs综合去除效率达到60%以上。</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rPr>
                  </w:pPr>
                  <w:r>
                    <w:rPr>
                      <w:rFonts w:hint="eastAsia"/>
                      <w:sz w:val="18"/>
                      <w:szCs w:val="18"/>
                      <w:lang w:val="en-US" w:eastAsia="zh-CN"/>
                    </w:rPr>
                    <w:t>本项目实用的结构胶、密封胶和就酒精满足《清洗剂挥发性有机化合物含量限值》（GB38508-2020）和《胶粘剂挥发性有机化合物限量》（GB33372-2020）中相关要求，根据《关于支持低挥发性有机物含量原辅材料源头替代的意见》（浙环发[2021]13号）本项目的涂胶废气、打胶废气和擦拭废气可在洁净车间内无组织排放</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加强治理设施运行管理</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按照治理设施较生产设备</w:t>
                  </w:r>
                  <w:r>
                    <w:rPr>
                      <w:rFonts w:hint="eastAsia"/>
                      <w:sz w:val="18"/>
                      <w:szCs w:val="18"/>
                    </w:rPr>
                    <w:t>“</w:t>
                  </w:r>
                  <w:r>
                    <w:rPr>
                      <w:sz w:val="18"/>
                      <w:szCs w:val="18"/>
                    </w:rPr>
                    <w:t>先启后停</w:t>
                  </w:r>
                  <w:r>
                    <w:rPr>
                      <w:rFonts w:hint="eastAsia"/>
                      <w:sz w:val="18"/>
                      <w:szCs w:val="18"/>
                    </w:rPr>
                    <w:t>”</w:t>
                  </w:r>
                  <w:r>
                    <w:rPr>
                      <w:sz w:val="18"/>
                      <w:szCs w:val="18"/>
                    </w:rPr>
                    <w:t>的原则提升治理设施投运率。根据处理工艺要求，在治理设施达到正常运行条件后方可启动生产设备，在生产设备停止、残留VOCs收集处理完毕后，方可停运治理设施。VOCs治理设施发生故障或检修时，对应生产设备应停止运行，待检修完毕后投入使用；因安全等因素生产设备不能停止或不能及时停止运行的，应设置废气应急处理设施或采取其他替代措施。</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企业生产过程严格执行相关规定。</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8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规范应急旁路排放管理</w:t>
                  </w:r>
                </w:p>
              </w:tc>
              <w:tc>
                <w:tcPr>
                  <w:tcW w:w="372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推动取消石化、化工、工业涂装、包装印刷、纺织印染等行业非必要的含VOCs排放的旁路。因安全等因素确须保留的，企业应将保留的应急旁路报当地生态环境部门。应急旁路在非紧急情况下保持关闭，并通过铅封、安装监控（如流量、温度、压差、阀门开度、视频等）设施等加强监管，开启后应做好台账记录并及时向当地生态环境部门报告。</w:t>
                  </w:r>
                </w:p>
              </w:tc>
              <w:tc>
                <w:tcPr>
                  <w:tcW w:w="15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本项目不设置应急旁路。</w:t>
                  </w:r>
                </w:p>
              </w:tc>
              <w:tc>
                <w:tcPr>
                  <w:tcW w:w="41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符合</w:t>
                  </w:r>
                </w:p>
              </w:tc>
            </w:tr>
          </w:tbl>
          <w:p>
            <w:pPr>
              <w:ind w:firstLine="420"/>
            </w:pPr>
            <w:r>
              <w:rPr>
                <w:rFonts w:hint="eastAsia"/>
              </w:rPr>
              <w:t>综上，本项目的实施符合《浙江省“十四五”挥发性有机物综合治理方案》的相关要求。</w:t>
            </w:r>
          </w:p>
          <w:p>
            <w:pPr>
              <w:pStyle w:val="5"/>
              <w:bidi w:val="0"/>
              <w:rPr>
                <w:rFonts w:hint="eastAsia"/>
              </w:rPr>
            </w:pPr>
            <w:r>
              <w:rPr>
                <w:rFonts w:hint="eastAsia"/>
                <w:lang w:val="en-US" w:eastAsia="zh-CN"/>
              </w:rPr>
              <w:t>1.7</w:t>
            </w:r>
            <w:r>
              <w:rPr>
                <w:rFonts w:hint="eastAsia"/>
              </w:rPr>
              <w:t>《浙江省工业企业恶臭异味管控技术指南（试行）》符合性分析</w:t>
            </w:r>
          </w:p>
          <w:p>
            <w:pPr>
              <w:bidi w:val="0"/>
            </w:pPr>
            <w:r>
              <w:rPr>
                <w:rFonts w:hint="eastAsia"/>
              </w:rPr>
              <w:t>对照《浙江省工业企业恶臭异味管控技术指南（试行）》中的其他行业排查重点与防治措施，其相关符合性见下表。</w:t>
            </w:r>
          </w:p>
          <w:p>
            <w:pPr>
              <w:bidi w:val="0"/>
              <w:ind w:left="0" w:leftChars="0" w:firstLine="0" w:firstLineChars="0"/>
              <w:jc w:val="center"/>
              <w:rPr>
                <w:rFonts w:hint="eastAsia"/>
                <w:b/>
                <w:bCs/>
              </w:rPr>
            </w:pPr>
            <w:r>
              <w:rPr>
                <w:rFonts w:hint="eastAsia"/>
                <w:b/>
                <w:bCs/>
              </w:rPr>
              <w:t>表</w:t>
            </w:r>
            <w:r>
              <w:rPr>
                <w:rFonts w:hint="eastAsia"/>
                <w:b/>
                <w:bCs/>
                <w:lang w:val="en-US" w:eastAsia="zh-CN"/>
              </w:rPr>
              <w:t>1.7-1</w:t>
            </w:r>
            <w:r>
              <w:rPr>
                <w:rFonts w:hint="eastAsia"/>
                <w:b/>
                <w:bCs/>
              </w:rPr>
              <w:t xml:space="preserve"> 其他行业排查重点与防治措施符合性分析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935"/>
              <w:gridCol w:w="3330"/>
              <w:gridCol w:w="1965"/>
              <w:gridCol w:w="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baseline"/>
                      <w:lang w:val="en-US" w:eastAsia="zh-CN"/>
                    </w:rPr>
                  </w:pPr>
                  <w:r>
                    <w:rPr>
                      <w:rFonts w:hint="eastAsia"/>
                      <w:sz w:val="18"/>
                      <w:szCs w:val="18"/>
                      <w:vertAlign w:val="baseline"/>
                      <w:lang w:val="en-US" w:eastAsia="zh-CN"/>
                    </w:rPr>
                    <w:t>序号</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baseline"/>
                      <w:lang w:val="en-US" w:eastAsia="zh-CN"/>
                    </w:rPr>
                  </w:pPr>
                  <w:r>
                    <w:rPr>
                      <w:rFonts w:hint="eastAsia"/>
                      <w:sz w:val="18"/>
                      <w:szCs w:val="18"/>
                      <w:vertAlign w:val="baseline"/>
                      <w:lang w:val="en-US" w:eastAsia="zh-CN"/>
                    </w:rPr>
                    <w:t>排查重点</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防治措施</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baseline"/>
                      <w:lang w:val="en-US" w:eastAsia="zh-CN"/>
                    </w:rPr>
                  </w:pPr>
                  <w:r>
                    <w:rPr>
                      <w:rFonts w:hint="eastAsia"/>
                      <w:sz w:val="18"/>
                      <w:szCs w:val="18"/>
                      <w:vertAlign w:val="baseline"/>
                      <w:lang w:val="en-US" w:eastAsia="zh-CN"/>
                    </w:rPr>
                    <w:t>本项目情况</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1</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原辅料替代</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采用低毒、低害、低挥发性、低异味阈值的原料进行源头替代，减少废气的产生量和废气异味污染；</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项目主要采用低毒、低害原料，从源头减少异味污染。</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2</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设备或工艺革新</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推广使用自动化、连续化、低消耗等环保性能较高的设备或生产工艺；</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项目采用自动化、连续化环保性能较高的设备。</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3</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设施密闭性</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① 加强装卸料、输运设备的密封或密闭，或收集废气经处理后排放；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② 加强生产装置、车间的密封或密闭，或收集废气经处理后排放；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③ 存储设备（罐区）加强密封或密闭、加强检测，或收集废气经处理后排放；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④ 暂存危废参照危险化学品进行良好包装。其中液态危废采用储罐、防渗的密闭地槽或外观整洁良好的密闭包装桶等，固态危废采用内衬塑料薄膜袋的编织袋密闭包装，半固态危废综合考虑其性状进行合理包装；</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⑤ 污水处理站产生恶臭气体的区域加罩或加盖，投放除臭剂，收集恶臭气体到除臭装置处理后经排气筒排放；</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①项目原料主要采用桶装，卸料、输运基本无废气产生。</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② 项目生产线密闭性好，</w:t>
                  </w:r>
                  <w:r>
                    <w:rPr>
                      <w:rFonts w:hint="eastAsia"/>
                      <w:sz w:val="18"/>
                      <w:szCs w:val="18"/>
                      <w:vertAlign w:val="baseline"/>
                      <w:lang w:val="en-US" w:eastAsia="zh-CN"/>
                    </w:rPr>
                    <w:t>在洁净车间内无组织排放</w:t>
                  </w:r>
                  <w:r>
                    <w:rPr>
                      <w:rFonts w:hint="eastAsia"/>
                      <w:sz w:val="18"/>
                      <w:szCs w:val="18"/>
                      <w:vertAlign w:val="baseline"/>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③ 项目原料主要采用桶装，密闭性好。</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④ 暂存危废参照危险化学品进行良好包装。</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18"/>
                      <w:szCs w:val="18"/>
                      <w:vertAlign w:val="baseline"/>
                    </w:rPr>
                  </w:pPr>
                  <w:r>
                    <w:rPr>
                      <w:rFonts w:hint="eastAsia"/>
                      <w:sz w:val="18"/>
                      <w:szCs w:val="18"/>
                      <w:vertAlign w:val="baseline"/>
                    </w:rPr>
                    <w:t>⑤ 污水处理站产生恶臭气体的区域加罩或加盖，收集恶臭气体到除臭装置处理后经排气筒排放。</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4</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废气处理能力</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实现废气“分质分类”、“应收尽收”，治理设施运行与生产设备“同启同停”，分类配套燃烧、生物处理、氧化吸收或其他高效废气处理设施进行治理，确保废气稳定达标排放；</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项目</w:t>
                  </w:r>
                  <w:r>
                    <w:rPr>
                      <w:rFonts w:hint="eastAsia"/>
                      <w:sz w:val="18"/>
                      <w:szCs w:val="18"/>
                      <w:vertAlign w:val="baseline"/>
                      <w:lang w:val="en-US" w:eastAsia="zh-CN"/>
                    </w:rPr>
                    <w:t>本项目臭气产生点位为污水站，经废气处理设施处理后</w:t>
                  </w:r>
                  <w:r>
                    <w:rPr>
                      <w:rFonts w:hint="eastAsia"/>
                      <w:sz w:val="18"/>
                      <w:szCs w:val="18"/>
                      <w:vertAlign w:val="baseline"/>
                    </w:rPr>
                    <w:t>，各污染物处理后均能达标排放</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环境管理措施</w:t>
                  </w:r>
                </w:p>
              </w:tc>
              <w:tc>
                <w:tcPr>
                  <w:tcW w:w="33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根据实际情况优先采用污染预防技术，并采用适合的末端治理技术。按照HJ 944 的要求建立台账，记录含VOCs 原辅材料的名称、采购量、使用量、回收量、废弃量、去向、VOCs含量，污染治理设施的工艺流程、设计参数、投运时间、启停时间、温度、风量，过滤材料更换时间和更换量，药剂添加量、添加时间、喷淋液PH 值，吸附剂脱附周期、更换时间和更换量，催化剂更换时间和更换量等信息。台账保存期限不少于三年。</w:t>
                  </w:r>
                </w:p>
              </w:tc>
              <w:tc>
                <w:tcPr>
                  <w:tcW w:w="196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企业需按照规定执行。</w:t>
                  </w:r>
                </w:p>
              </w:tc>
              <w:tc>
                <w:tcPr>
                  <w:tcW w:w="45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符合</w:t>
                  </w:r>
                </w:p>
              </w:tc>
            </w:tr>
          </w:tbl>
          <w:p>
            <w:pPr>
              <w:pStyle w:val="5"/>
              <w:bidi w:val="0"/>
              <w:rPr>
                <w:rFonts w:hint="eastAsia"/>
              </w:rPr>
            </w:pPr>
            <w:r>
              <w:rPr>
                <w:rFonts w:hint="eastAsia"/>
                <w:lang w:val="en-US" w:eastAsia="zh-CN"/>
              </w:rPr>
              <w:t>1.8</w:t>
            </w:r>
            <w:r>
              <w:rPr>
                <w:rFonts w:hint="eastAsia"/>
              </w:rPr>
              <w:t>《浙江省大运河核心监控区建设项目准入负面清单（试行）》符合性分析</w:t>
            </w:r>
          </w:p>
          <w:p>
            <w:pPr>
              <w:bidi w:val="0"/>
              <w:rPr>
                <w:rFonts w:hint="eastAsia"/>
              </w:rPr>
            </w:pPr>
            <w:r>
              <w:rPr>
                <w:rFonts w:hint="eastAsia"/>
              </w:rPr>
              <w:t>关于印发《浙江省大运河核心监控区建设项目准入负面清单（试行）》的通知（浙发改社会[2021]229号）由浙江省发展和改革委员会、浙江省自然资厅、浙江省生态环境厅、浙江省经济和信息化厅、浙江省住房和城乡建设厅、浙江省文物局于2021年8月6日联合发布，该清单自2021年9月15日起施行，有效期1年。</w:t>
            </w:r>
          </w:p>
          <w:p>
            <w:pPr>
              <w:bidi w:val="0"/>
              <w:rPr>
                <w:rFonts w:hint="eastAsia"/>
              </w:rPr>
            </w:pPr>
            <w:r>
              <w:rPr>
                <w:rFonts w:hint="eastAsia"/>
              </w:rPr>
              <w:t>本项目位于浙江省嘉兴市海宁市黄湾镇向心路8号，不在运河河岸2km范围内，因此未纳入浙江省大运河核心监控区管控范围，本报告不进行符合性分析。</w:t>
            </w:r>
          </w:p>
          <w:p>
            <w:pPr>
              <w:pStyle w:val="5"/>
              <w:bidi w:val="0"/>
              <w:rPr>
                <w:rFonts w:hint="eastAsia"/>
              </w:rPr>
            </w:pPr>
            <w:r>
              <w:rPr>
                <w:rFonts w:hint="eastAsia"/>
                <w:lang w:val="en-US" w:eastAsia="zh-CN"/>
              </w:rPr>
              <w:t>1.9</w:t>
            </w:r>
            <w:r>
              <w:rPr>
                <w:rFonts w:hint="eastAsia"/>
              </w:rPr>
              <w:t>与《关于印发嘉兴市大运河核心监控区国土空间管控细则的通知》(嘉政办发[2022]37 号)符合性分析</w:t>
            </w:r>
          </w:p>
          <w:p>
            <w:pPr>
              <w:bidi w:val="0"/>
              <w:rPr>
                <w:rFonts w:hint="eastAsia"/>
              </w:rPr>
            </w:pPr>
            <w:r>
              <w:rPr>
                <w:rFonts w:hint="eastAsia"/>
              </w:rPr>
              <w:t>根据嘉兴市人民政府办公室《关于印发嘉兴市大运河核心监控区国土空间管控细则的通知》(嘉政办发[2022]37号)，京杭大运河(嘉兴段)世界文化遗产河道两岸起始线至同岸终止线距离2000米内的范围、拓展河道(澜溪塘)两岸起始线全同岸终止线距离1000米内的范围划定为核心监控区。</w:t>
            </w:r>
          </w:p>
          <w:p>
            <w:pPr>
              <w:bidi w:val="0"/>
              <w:rPr>
                <w:rFonts w:hint="eastAsia"/>
              </w:rPr>
            </w:pPr>
            <w:r>
              <w:rPr>
                <w:rFonts w:hint="eastAsia"/>
              </w:rPr>
              <w:t>本项目位于浙江省嘉兴市海宁市黄湾镇向心路8号，不在运河河岸2km范围内，因此未纳入嘉兴市大运河核心监控区管控范围，本报告不进行符合性分析。</w:t>
            </w:r>
          </w:p>
          <w:bookmarkEnd w:id="1"/>
          <w:p>
            <w:pPr>
              <w:pStyle w:val="5"/>
              <w:spacing w:before="0" w:beforeLines="0"/>
              <w:rPr>
                <w:rFonts w:hint="default"/>
              </w:rPr>
            </w:pPr>
            <w:bookmarkStart w:id="2" w:name="_Toc19510"/>
            <w:r>
              <w:t>1.</w:t>
            </w:r>
            <w:r>
              <w:rPr>
                <w:rFonts w:hint="eastAsia"/>
                <w:lang w:val="en-US" w:eastAsia="zh-CN"/>
              </w:rPr>
              <w:t>10</w:t>
            </w:r>
            <w:r>
              <w:t>“四性五不准”符合性分析</w:t>
            </w:r>
            <w:bookmarkEnd w:id="2"/>
          </w:p>
          <w:p>
            <w:pPr>
              <w:adjustRightInd w:val="0"/>
              <w:ind w:firstLine="420"/>
            </w:pPr>
            <w:r>
              <w:t>根据《建设项目环境保护管理条例》（2017年07月16日</w:t>
            </w:r>
            <w:r>
              <w:rPr>
                <w:rFonts w:hint="eastAsia"/>
              </w:rPr>
              <w:t>修订版</w:t>
            </w:r>
            <w:r>
              <w:t>），企业</w:t>
            </w:r>
            <w:r>
              <w:rPr>
                <w:rFonts w:hint="eastAsia"/>
              </w:rPr>
              <w:t>“</w:t>
            </w:r>
            <w:r>
              <w:t>四性五不准</w:t>
            </w:r>
            <w:r>
              <w:rPr>
                <w:rFonts w:hint="eastAsia"/>
              </w:rPr>
              <w:t>”</w:t>
            </w:r>
            <w:r>
              <w:t>符合性分析见表</w:t>
            </w:r>
            <w:r>
              <w:rPr>
                <w:rFonts w:hint="eastAsia"/>
                <w:lang w:val="en-US" w:eastAsia="zh-CN"/>
              </w:rPr>
              <w:t>1.10-1</w:t>
            </w:r>
            <w:r>
              <w:t>。</w:t>
            </w:r>
          </w:p>
          <w:p>
            <w:pPr>
              <w:adjustRightInd/>
              <w:spacing w:line="240" w:lineRule="auto"/>
              <w:ind w:firstLine="0" w:firstLineChars="0"/>
              <w:jc w:val="center"/>
              <w:rPr>
                <w:b/>
                <w:bCs/>
              </w:rPr>
            </w:pPr>
            <w:r>
              <w:rPr>
                <w:rFonts w:hint="eastAsia"/>
                <w:b/>
                <w:bCs/>
              </w:rPr>
              <w:t>表</w:t>
            </w:r>
            <w:r>
              <w:rPr>
                <w:rFonts w:hint="eastAsia"/>
                <w:b/>
                <w:bCs/>
                <w:lang w:val="en-US" w:eastAsia="zh-CN"/>
              </w:rPr>
              <w:t>1.10-1</w:t>
            </w:r>
            <w:r>
              <w:rPr>
                <w:rFonts w:hint="eastAsia"/>
                <w:b/>
                <w:bCs/>
              </w:rPr>
              <w:t xml:space="preserve"> </w:t>
            </w:r>
            <w:r>
              <w:rPr>
                <w:b/>
                <w:bCs/>
              </w:rPr>
              <w:t xml:space="preserve"> </w:t>
            </w:r>
            <w:r>
              <w:rPr>
                <w:rFonts w:hint="eastAsia"/>
                <w:b/>
                <w:bCs/>
              </w:rPr>
              <w:t>“</w:t>
            </w:r>
            <w:r>
              <w:rPr>
                <w:b/>
                <w:bCs/>
              </w:rPr>
              <w:t>四性五不准</w:t>
            </w:r>
            <w:r>
              <w:rPr>
                <w:rFonts w:hint="eastAsia"/>
                <w:b/>
                <w:bCs/>
              </w:rPr>
              <w:t>”</w:t>
            </w:r>
            <w:r>
              <w:rPr>
                <w:b/>
                <w:bCs/>
              </w:rPr>
              <w:t>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2135"/>
              <w:gridCol w:w="3534"/>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gridSpan w:val="2"/>
                  <w:vAlign w:val="center"/>
                </w:tcPr>
                <w:p>
                  <w:pPr>
                    <w:ind w:firstLine="0" w:firstLineChars="0"/>
                    <w:jc w:val="center"/>
                    <w:rPr>
                      <w:b/>
                      <w:szCs w:val="18"/>
                    </w:rPr>
                  </w:pPr>
                  <w:r>
                    <w:rPr>
                      <w:b/>
                      <w:bCs/>
                      <w:sz w:val="18"/>
                      <w:szCs w:val="18"/>
                    </w:rPr>
                    <w:t>内容</w:t>
                  </w:r>
                </w:p>
              </w:tc>
              <w:tc>
                <w:tcPr>
                  <w:tcW w:w="3270" w:type="dxa"/>
                  <w:vAlign w:val="center"/>
                </w:tcPr>
                <w:p>
                  <w:pPr>
                    <w:ind w:firstLine="0" w:firstLineChars="0"/>
                    <w:jc w:val="center"/>
                    <w:rPr>
                      <w:b/>
                      <w:szCs w:val="18"/>
                    </w:rPr>
                  </w:pPr>
                  <w:r>
                    <w:rPr>
                      <w:b/>
                      <w:bCs/>
                      <w:sz w:val="18"/>
                      <w:szCs w:val="18"/>
                    </w:rPr>
                    <w:t>企业情况</w:t>
                  </w:r>
                </w:p>
              </w:tc>
              <w:tc>
                <w:tcPr>
                  <w:tcW w:w="943" w:type="dxa"/>
                  <w:vAlign w:val="center"/>
                </w:tcPr>
                <w:p>
                  <w:pPr>
                    <w:ind w:firstLine="0" w:firstLineChars="0"/>
                    <w:jc w:val="center"/>
                    <w:rPr>
                      <w:b/>
                      <w:szCs w:val="18"/>
                    </w:rPr>
                  </w:pPr>
                  <w:r>
                    <w:rPr>
                      <w:b/>
                      <w:bCs/>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restart"/>
                  <w:vAlign w:val="center"/>
                </w:tcPr>
                <w:p>
                  <w:pPr>
                    <w:adjustRightInd w:val="0"/>
                    <w:spacing w:line="240" w:lineRule="auto"/>
                    <w:ind w:firstLine="0" w:firstLineChars="0"/>
                    <w:jc w:val="center"/>
                    <w:rPr>
                      <w:b/>
                      <w:sz w:val="18"/>
                      <w:szCs w:val="18"/>
                    </w:rPr>
                  </w:pPr>
                  <w:r>
                    <w:rPr>
                      <w:rFonts w:hint="eastAsia"/>
                      <w:b/>
                      <w:sz w:val="18"/>
                      <w:szCs w:val="18"/>
                    </w:rPr>
                    <w:t>四性</w:t>
                  </w:r>
                </w:p>
              </w:tc>
              <w:tc>
                <w:tcPr>
                  <w:tcW w:w="1976" w:type="dxa"/>
                  <w:vAlign w:val="center"/>
                </w:tcPr>
                <w:p>
                  <w:pPr>
                    <w:pStyle w:val="20"/>
                    <w:rPr>
                      <w:b/>
                      <w:szCs w:val="18"/>
                    </w:rPr>
                  </w:pPr>
                  <w:r>
                    <w:t>建设项目的环境可行性</w:t>
                  </w:r>
                </w:p>
              </w:tc>
              <w:tc>
                <w:tcPr>
                  <w:tcW w:w="3270" w:type="dxa"/>
                  <w:vAlign w:val="center"/>
                </w:tcPr>
                <w:p>
                  <w:pPr>
                    <w:pStyle w:val="20"/>
                    <w:rPr>
                      <w:b/>
                      <w:szCs w:val="18"/>
                    </w:rPr>
                  </w:pPr>
                  <w:r>
                    <w:t>项目符合国家法律法规；符合</w:t>
                  </w:r>
                  <w:r>
                    <w:rPr>
                      <w:rFonts w:hint="eastAsia"/>
                    </w:rPr>
                    <w:t>海宁市</w:t>
                  </w:r>
                  <w:r>
                    <w:t>总体规划要求；符合</w:t>
                  </w:r>
                  <w:r>
                    <w:rPr>
                      <w:rFonts w:hint="eastAsia"/>
                    </w:rPr>
                    <w:t>海宁市“</w:t>
                  </w:r>
                  <w:r>
                    <w:t>三线一单</w:t>
                  </w:r>
                  <w:r>
                    <w:rPr>
                      <w:rFonts w:hint="eastAsia"/>
                    </w:rPr>
                    <w:t>”</w:t>
                  </w:r>
                  <w:r>
                    <w:t>生态环境分区管控方案；环保措施合理，污染物可稳定达标排放</w:t>
                  </w:r>
                  <w:r>
                    <w:rPr>
                      <w:rFonts w:hint="eastAsia"/>
                    </w:rPr>
                    <w:t>。</w:t>
                  </w:r>
                </w:p>
              </w:tc>
              <w:tc>
                <w:tcPr>
                  <w:tcW w:w="943" w:type="dxa"/>
                  <w:vAlign w:val="center"/>
                </w:tcPr>
                <w:p>
                  <w:pPr>
                    <w:pStyle w:val="20"/>
                    <w:rPr>
                      <w:b/>
                      <w:szCs w:val="18"/>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环境影响分析预测评估的可靠性</w:t>
                  </w:r>
                </w:p>
              </w:tc>
              <w:tc>
                <w:tcPr>
                  <w:tcW w:w="3270" w:type="dxa"/>
                  <w:vAlign w:val="center"/>
                </w:tcPr>
                <w:p>
                  <w:pPr>
                    <w:pStyle w:val="20"/>
                    <w:rPr>
                      <w:b/>
                      <w:szCs w:val="18"/>
                    </w:rPr>
                  </w:pPr>
                  <w:r>
                    <w:rPr>
                      <w:rFonts w:hint="eastAsia"/>
                      <w:kern w:val="0"/>
                      <w:szCs w:val="18"/>
                    </w:rPr>
                    <w:t>按《环境影响报告表编制指南-污染影响类》、导则开展环境影响分析，符合相关指南、导则要求。</w:t>
                  </w:r>
                </w:p>
              </w:tc>
              <w:tc>
                <w:tcPr>
                  <w:tcW w:w="943" w:type="dxa"/>
                  <w:vAlign w:val="center"/>
                </w:tcPr>
                <w:p>
                  <w:pPr>
                    <w:pStyle w:val="20"/>
                    <w:rPr>
                      <w:b/>
                      <w:szCs w:val="18"/>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环境保护措施的有效性</w:t>
                  </w:r>
                </w:p>
              </w:tc>
              <w:tc>
                <w:tcPr>
                  <w:tcW w:w="3270" w:type="dxa"/>
                  <w:vAlign w:val="center"/>
                </w:tcPr>
                <w:p>
                  <w:pPr>
                    <w:pStyle w:val="20"/>
                    <w:rPr>
                      <w:b/>
                      <w:szCs w:val="18"/>
                    </w:rPr>
                  </w:pPr>
                  <w:r>
                    <w:rPr>
                      <w:rFonts w:hint="eastAsia"/>
                      <w:kern w:val="0"/>
                      <w:szCs w:val="18"/>
                    </w:rPr>
                    <w:t>本项目采取相应的环境保护治理措施后，各类污染物均可达标排放。项目采用的环境保护措施可靠、有效</w:t>
                  </w:r>
                </w:p>
              </w:tc>
              <w:tc>
                <w:tcPr>
                  <w:tcW w:w="943" w:type="dxa"/>
                  <w:vAlign w:val="center"/>
                </w:tcPr>
                <w:p>
                  <w:pPr>
                    <w:pStyle w:val="20"/>
                    <w:rPr>
                      <w:b/>
                      <w:szCs w:val="18"/>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环境影响评价结论的科学性</w:t>
                  </w:r>
                </w:p>
              </w:tc>
              <w:tc>
                <w:tcPr>
                  <w:tcW w:w="3270" w:type="dxa"/>
                  <w:vAlign w:val="center"/>
                </w:tcPr>
                <w:p>
                  <w:pPr>
                    <w:pStyle w:val="20"/>
                    <w:rPr>
                      <w:b/>
                      <w:szCs w:val="18"/>
                    </w:rPr>
                  </w:pPr>
                  <w:r>
                    <w:rPr>
                      <w:rFonts w:hint="eastAsia"/>
                      <w:kern w:val="0"/>
                      <w:szCs w:val="18"/>
                    </w:rPr>
                    <w:t>本环评结论客观、过程公开、评价公正，评价过程均依照环评相关技术导则、技术方法等进行，并综合考虑建设项目实施后对各种环境因素可能造成的影响，环评结论科学。</w:t>
                  </w:r>
                </w:p>
              </w:tc>
              <w:tc>
                <w:tcPr>
                  <w:tcW w:w="943" w:type="dxa"/>
                  <w:vAlign w:val="center"/>
                </w:tcPr>
                <w:p>
                  <w:pPr>
                    <w:pStyle w:val="20"/>
                    <w:rPr>
                      <w:b/>
                      <w:szCs w:val="18"/>
                    </w:rPr>
                  </w:pPr>
                  <w: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restart"/>
                  <w:vAlign w:val="center"/>
                </w:tcPr>
                <w:p>
                  <w:pPr>
                    <w:adjustRightInd w:val="0"/>
                    <w:spacing w:line="240" w:lineRule="auto"/>
                    <w:ind w:firstLine="0" w:firstLineChars="0"/>
                    <w:jc w:val="center"/>
                    <w:rPr>
                      <w:b/>
                      <w:sz w:val="18"/>
                      <w:szCs w:val="18"/>
                    </w:rPr>
                  </w:pPr>
                  <w:r>
                    <w:rPr>
                      <w:rFonts w:hint="eastAsia"/>
                      <w:b/>
                      <w:sz w:val="18"/>
                      <w:szCs w:val="18"/>
                    </w:rPr>
                    <w:t>五不准</w:t>
                  </w:r>
                </w:p>
              </w:tc>
              <w:tc>
                <w:tcPr>
                  <w:tcW w:w="1976" w:type="dxa"/>
                  <w:vAlign w:val="center"/>
                </w:tcPr>
                <w:p>
                  <w:pPr>
                    <w:pStyle w:val="20"/>
                    <w:rPr>
                      <w:b/>
                      <w:szCs w:val="18"/>
                    </w:rPr>
                  </w:pPr>
                  <w:r>
                    <w:t>建设项目类型及其选址、布局、规模等不符合环境保护法律法规和相关法定规划</w:t>
                  </w:r>
                </w:p>
              </w:tc>
              <w:tc>
                <w:tcPr>
                  <w:tcW w:w="3270" w:type="dxa"/>
                  <w:vAlign w:val="center"/>
                </w:tcPr>
                <w:p>
                  <w:pPr>
                    <w:pStyle w:val="20"/>
                    <w:adjustRightInd w:val="0"/>
                    <w:rPr>
                      <w:b/>
                      <w:szCs w:val="18"/>
                    </w:rPr>
                  </w:pPr>
                  <w:r>
                    <w:rPr>
                      <w:rFonts w:hint="eastAsia"/>
                      <w:kern w:val="0"/>
                      <w:szCs w:val="18"/>
                    </w:rPr>
                    <w:t>建设项目类型及其选址、布局、规模符合环境保护法律法规，并符合海宁市环境功能区划。因此建设项目类型及其选址、布局、规模等符合环境保护法律法规和相关法定规划。</w:t>
                  </w:r>
                </w:p>
              </w:tc>
              <w:tc>
                <w:tcPr>
                  <w:tcW w:w="943" w:type="dxa"/>
                  <w:vAlign w:val="center"/>
                </w:tcPr>
                <w:p>
                  <w:pPr>
                    <w:pStyle w:val="20"/>
                    <w:adjustRightInd w:val="0"/>
                    <w:rPr>
                      <w:b/>
                      <w:szCs w:val="18"/>
                    </w:rPr>
                  </w:pPr>
                  <w:r>
                    <w:rPr>
                      <w:rFonts w:hint="eastAsia"/>
                      <w:kern w:val="0"/>
                      <w:szCs w:val="18"/>
                    </w:rPr>
                    <w:t>项目符合相关规划，符合环保法律法规。不存在不符合情形。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所在区域环境质量未达到国家或者地方环境质量标准，且建设项目拟采取的措施不能满足区域环境质量改善目标管理要求</w:t>
                  </w:r>
                </w:p>
              </w:tc>
              <w:tc>
                <w:tcPr>
                  <w:tcW w:w="3270" w:type="dxa"/>
                  <w:vAlign w:val="center"/>
                </w:tcPr>
                <w:p>
                  <w:pPr>
                    <w:pStyle w:val="20"/>
                    <w:rPr>
                      <w:kern w:val="0"/>
                      <w:szCs w:val="18"/>
                    </w:rPr>
                  </w:pPr>
                  <w:r>
                    <w:rPr>
                      <w:rFonts w:hint="eastAsia"/>
                      <w:lang w:val="en-US" w:eastAsia="zh-CN"/>
                    </w:rPr>
                    <w:t>项目所在区域属于环境质量达标区，本项目仅排放生活污水，经污水站处理后达标纳管排放</w:t>
                  </w:r>
                  <w:r>
                    <w:rPr>
                      <w:rFonts w:hint="eastAsia"/>
                    </w:rPr>
                    <w:t>，不会对地表水环境造成影响；</w:t>
                  </w:r>
                  <w:r>
                    <w:rPr>
                      <w:rFonts w:hint="eastAsia"/>
                      <w:lang w:val="en-US" w:eastAsia="zh-CN"/>
                    </w:rPr>
                    <w:t>新增</w:t>
                  </w:r>
                  <w:r>
                    <w:rPr>
                      <w:rFonts w:hint="eastAsia"/>
                    </w:rPr>
                    <w:t>VOCs</w:t>
                  </w:r>
                  <w:r>
                    <w:rPr>
                      <w:rFonts w:hint="eastAsia"/>
                      <w:lang w:val="en-US" w:eastAsia="zh-CN"/>
                    </w:rPr>
                    <w:t>按要求进行区域削减平衡</w:t>
                  </w:r>
                  <w:r>
                    <w:rPr>
                      <w:rFonts w:hint="eastAsia"/>
                    </w:rPr>
                    <w:t>，符合总量要求；</w:t>
                  </w:r>
                  <w:r>
                    <w:rPr>
                      <w:rFonts w:hint="eastAsia"/>
                      <w:kern w:val="0"/>
                      <w:szCs w:val="18"/>
                    </w:rPr>
                    <w:t>固废可得到妥善处置。本项目采取各项污染防治措施后，废气、废水、噪声等污染物均能达标排放。</w:t>
                  </w:r>
                </w:p>
                <w:p>
                  <w:pPr>
                    <w:pStyle w:val="20"/>
                    <w:rPr>
                      <w:b/>
                      <w:szCs w:val="18"/>
                    </w:rPr>
                  </w:pPr>
                  <w:r>
                    <w:rPr>
                      <w:rFonts w:hint="eastAsia"/>
                      <w:kern w:val="0"/>
                      <w:szCs w:val="18"/>
                    </w:rPr>
                    <w:t>根据影响分析可知，当地环境质量仍能维持现状，符合项目所在地环境功能区划确定的环境质量要求。随着《浙江省打赢蓝天保卫战三年行动计划》、《海宁市环境保护“十四五”规划》的实施，海宁市环境空气质量将稳步改善。因此，本项目不触及环境质量底线。</w:t>
                  </w:r>
                </w:p>
              </w:tc>
              <w:tc>
                <w:tcPr>
                  <w:tcW w:w="943" w:type="dxa"/>
                  <w:vAlign w:val="center"/>
                </w:tcPr>
                <w:p>
                  <w:pPr>
                    <w:pStyle w:val="20"/>
                    <w:rPr>
                      <w:b/>
                      <w:szCs w:val="18"/>
                    </w:rPr>
                  </w:pPr>
                  <w:r>
                    <w:rPr>
                      <w:rFonts w:hint="eastAsia"/>
                      <w:kern w:val="0"/>
                      <w:szCs w:val="18"/>
                    </w:rPr>
                    <w:t>当地环境质量仍能维持现状。不存在不符合情形。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pPr>
                  <w:r>
                    <w:t>建设项目采取的污染防治措施无法确保污染物排放达到国家和地方排放标准，或者未采取必要措施预防和控制生态破坏</w:t>
                  </w:r>
                </w:p>
              </w:tc>
              <w:tc>
                <w:tcPr>
                  <w:tcW w:w="3270" w:type="dxa"/>
                  <w:vAlign w:val="center"/>
                </w:tcPr>
                <w:p>
                  <w:pPr>
                    <w:pStyle w:val="20"/>
                  </w:pPr>
                  <w:r>
                    <w:rPr>
                      <w:rFonts w:hint="eastAsia"/>
                    </w:rPr>
                    <w:t>项目运营过程中各类污染源均可得到有效控制并能做到达标排放。</w:t>
                  </w:r>
                </w:p>
              </w:tc>
              <w:tc>
                <w:tcPr>
                  <w:tcW w:w="943" w:type="dxa"/>
                  <w:vAlign w:val="center"/>
                </w:tcPr>
                <w:p>
                  <w:pPr>
                    <w:pStyle w:val="20"/>
                    <w:snapToGrid/>
                    <w:spacing w:line="240" w:lineRule="exact"/>
                  </w:pPr>
                  <w:r>
                    <w:rPr>
                      <w:rFonts w:hint="eastAsia"/>
                    </w:rPr>
                    <w:t>污染防治措施可确保污染物达标排放。不存在不符合情形。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改建、扩建和技术改造项目，未针对项目原有环境污染和生态破坏提出有效的防治措施</w:t>
                  </w:r>
                </w:p>
              </w:tc>
              <w:tc>
                <w:tcPr>
                  <w:tcW w:w="3270" w:type="dxa"/>
                  <w:vAlign w:val="center"/>
                </w:tcPr>
                <w:p>
                  <w:pPr>
                    <w:pStyle w:val="20"/>
                    <w:adjustRightInd w:val="0"/>
                    <w:rPr>
                      <w:b/>
                      <w:szCs w:val="18"/>
                    </w:rPr>
                  </w:pPr>
                  <w:r>
                    <w:rPr>
                      <w:rFonts w:hint="eastAsia"/>
                      <w:kern w:val="0"/>
                      <w:szCs w:val="18"/>
                    </w:rPr>
                    <w:t>本项目为</w:t>
                  </w:r>
                  <w:r>
                    <w:rPr>
                      <w:rFonts w:hint="eastAsia"/>
                      <w:kern w:val="0"/>
                      <w:szCs w:val="18"/>
                      <w:lang w:val="en-US" w:eastAsia="zh-CN"/>
                    </w:rPr>
                    <w:t>扩建</w:t>
                  </w:r>
                  <w:r>
                    <w:rPr>
                      <w:rFonts w:hint="eastAsia"/>
                      <w:kern w:val="0"/>
                      <w:szCs w:val="18"/>
                    </w:rPr>
                    <w:t>项目，</w:t>
                  </w:r>
                  <w:r>
                    <w:rPr>
                      <w:rFonts w:hint="eastAsia"/>
                      <w:bCs/>
                      <w:szCs w:val="18"/>
                    </w:rPr>
                    <w:t>现有项目基本落实了环评及环评批复的环保措施。根据验收意见，建议企业</w:t>
                  </w:r>
                  <w:r>
                    <w:rPr>
                      <w:bCs/>
                      <w:szCs w:val="18"/>
                    </w:rPr>
                    <w:t>加强污染设施的运行管理，确保污染物长期稳定达标；继续完善各类环保管理制度，各类环保设备要有专人负责管理，将环保责任落实到人</w:t>
                  </w:r>
                </w:p>
              </w:tc>
              <w:tc>
                <w:tcPr>
                  <w:tcW w:w="943" w:type="dxa"/>
                  <w:vAlign w:val="center"/>
                </w:tcPr>
                <w:p>
                  <w:pPr>
                    <w:pStyle w:val="20"/>
                    <w:adjustRightInd w:val="0"/>
                    <w:rPr>
                      <w:b/>
                      <w:szCs w:val="18"/>
                    </w:rPr>
                  </w:pPr>
                  <w:r>
                    <w:rPr>
                      <w:rFonts w:hint="eastAsia"/>
                      <w:kern w:val="0"/>
                      <w:szCs w:val="18"/>
                    </w:rPr>
                    <w:t>不存在不符合情形。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Merge w:val="continue"/>
                  <w:vAlign w:val="center"/>
                </w:tcPr>
                <w:p>
                  <w:pPr>
                    <w:adjustRightInd w:val="0"/>
                    <w:spacing w:line="240" w:lineRule="auto"/>
                    <w:ind w:firstLine="0" w:firstLineChars="0"/>
                    <w:jc w:val="center"/>
                    <w:rPr>
                      <w:b/>
                      <w:sz w:val="18"/>
                      <w:szCs w:val="18"/>
                    </w:rPr>
                  </w:pPr>
                </w:p>
              </w:tc>
              <w:tc>
                <w:tcPr>
                  <w:tcW w:w="1976" w:type="dxa"/>
                  <w:vAlign w:val="center"/>
                </w:tcPr>
                <w:p>
                  <w:pPr>
                    <w:pStyle w:val="20"/>
                    <w:rPr>
                      <w:b/>
                      <w:szCs w:val="18"/>
                    </w:rPr>
                  </w:pPr>
                  <w:r>
                    <w:t>建设项目的环境影响报告书、报告表的基础资料数据明显不实，内容存在重大缺陷、遗漏、或者环境影响评价结论不明确、不合理</w:t>
                  </w:r>
                </w:p>
              </w:tc>
              <w:tc>
                <w:tcPr>
                  <w:tcW w:w="3270" w:type="dxa"/>
                  <w:vAlign w:val="center"/>
                </w:tcPr>
                <w:p>
                  <w:pPr>
                    <w:pStyle w:val="20"/>
                    <w:adjustRightInd w:val="0"/>
                    <w:rPr>
                      <w:b/>
                      <w:szCs w:val="18"/>
                    </w:rPr>
                  </w:pPr>
                  <w:r>
                    <w:rPr>
                      <w:rFonts w:hint="eastAsia"/>
                      <w:kern w:val="0"/>
                      <w:szCs w:val="18"/>
                    </w:rPr>
                    <w:t>环评报告采用的基础资料数据均采用项目方实际建设申报内容，环境监测数据均由正规资质单位监测取得。</w:t>
                  </w:r>
                </w:p>
              </w:tc>
              <w:tc>
                <w:tcPr>
                  <w:tcW w:w="943" w:type="dxa"/>
                  <w:vAlign w:val="center"/>
                </w:tcPr>
                <w:p>
                  <w:pPr>
                    <w:pStyle w:val="20"/>
                    <w:adjustRightInd w:val="0"/>
                    <w:rPr>
                      <w:b/>
                      <w:szCs w:val="18"/>
                    </w:rPr>
                  </w:pPr>
                  <w:r>
                    <w:rPr>
                      <w:rFonts w:hint="eastAsia"/>
                      <w:kern w:val="0"/>
                      <w:szCs w:val="18"/>
                    </w:rPr>
                    <w:t>不存在重大缺陷和遗漏。不存在不符合情形。</w:t>
                  </w:r>
                </w:p>
              </w:tc>
            </w:tr>
          </w:tbl>
          <w:p>
            <w:pPr>
              <w:ind w:firstLine="420"/>
              <w:rPr>
                <w:rFonts w:hint="eastAsia" w:eastAsia="宋体"/>
                <w:lang w:val="en-US" w:eastAsia="zh-CN"/>
              </w:rPr>
            </w:pPr>
            <w:r>
              <w:rPr>
                <w:rFonts w:hint="eastAsia"/>
              </w:rPr>
              <w:t>综上分析，本项目建设符合“四性五不批”的审批原则和要求。</w:t>
            </w:r>
          </w:p>
        </w:tc>
      </w:tr>
    </w:tbl>
    <w:p>
      <w:pPr>
        <w:ind w:firstLine="0" w:firstLineChars="0"/>
        <w:jc w:val="center"/>
        <w:rPr>
          <w:rFonts w:ascii="宋体" w:hAnsi="宋体" w:cs="宋体"/>
          <w:sz w:val="36"/>
          <w:szCs w:val="36"/>
        </w:rPr>
        <w:sectPr>
          <w:footerReference r:id="rId10" w:type="default"/>
          <w:pgSz w:w="11906" w:h="16838"/>
          <w:pgMar w:top="1440" w:right="1800" w:bottom="1440" w:left="1800" w:header="851" w:footer="992" w:gutter="0"/>
          <w:pgNumType w:fmt="decimal" w:start="1"/>
          <w:cols w:space="425" w:num="1"/>
          <w:docGrid w:type="lines" w:linePitch="312" w:charSpace="0"/>
        </w:sectPr>
      </w:pPr>
    </w:p>
    <w:p>
      <w:pPr>
        <w:pStyle w:val="4"/>
        <w:numPr>
          <w:ilvl w:val="-1"/>
          <w:numId w:val="0"/>
        </w:numPr>
      </w:pPr>
      <w:bookmarkStart w:id="3" w:name="_Toc26393"/>
      <w:bookmarkStart w:id="4" w:name="_Toc301"/>
      <w:bookmarkStart w:id="5" w:name="_Toc17513"/>
      <w:r>
        <w:rPr>
          <w:rFonts w:hint="eastAsia"/>
          <w:lang w:val="en-US" w:eastAsia="zh-CN"/>
        </w:rPr>
        <w:t>二、</w:t>
      </w:r>
      <w:r>
        <w:rPr>
          <w:rFonts w:hint="eastAsia"/>
        </w:rPr>
        <w:t>建设项目工程分析</w:t>
      </w:r>
      <w:bookmarkEnd w:id="3"/>
      <w:bookmarkEnd w:id="4"/>
      <w:bookmarkEnd w:id="5"/>
    </w:p>
    <w:tbl>
      <w:tblPr>
        <w:tblStyle w:val="1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3"/>
        <w:gridCol w:w="8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4" w:type="dxa"/>
            <w:vAlign w:val="center"/>
          </w:tcPr>
          <w:p>
            <w:pPr>
              <w:ind w:firstLine="0" w:firstLineChars="0"/>
              <w:jc w:val="center"/>
            </w:pPr>
            <w:r>
              <w:rPr>
                <w:rFonts w:hint="eastAsia"/>
              </w:rPr>
              <w:t>建设内容</w:t>
            </w:r>
          </w:p>
        </w:tc>
        <w:tc>
          <w:tcPr>
            <w:tcW w:w="7928" w:type="dxa"/>
            <w:vAlign w:val="center"/>
          </w:tcPr>
          <w:p>
            <w:pPr>
              <w:pStyle w:val="5"/>
              <w:spacing w:before="0"/>
              <w:rPr>
                <w:rFonts w:hint="default"/>
              </w:rPr>
            </w:pPr>
            <w:bookmarkStart w:id="6" w:name="_Toc29195"/>
            <w:r>
              <w:t>2.1本项目类别判定</w:t>
            </w:r>
            <w:bookmarkEnd w:id="6"/>
          </w:p>
          <w:p>
            <w:pPr>
              <w:pStyle w:val="6"/>
            </w:pPr>
            <w:bookmarkStart w:id="7" w:name="_Toc9569"/>
            <w:r>
              <w:t>2.1.1环评类别判定</w:t>
            </w:r>
            <w:bookmarkEnd w:id="7"/>
          </w:p>
          <w:p>
            <w:pPr>
              <w:adjustRightInd/>
              <w:ind w:firstLine="0"/>
            </w:pPr>
            <w:r>
              <w:rPr>
                <w:rFonts w:hint="eastAsia"/>
              </w:rPr>
              <w:t>根据《中华人民共和国环境影响评价法》、《建设项目环境保护管理条例》和《浙江省建设项目环境保护管理办法》的有关规定，凡从事对环境有影响的建设项目必须进行环境影响评价，使经济建设与环境保护能够协调发展，根据《建设项目环境影响评价分类管理名录》（2021年版），本项目环评类别判定情况详见表2</w:t>
            </w:r>
            <w:r>
              <w:t>.1-1</w:t>
            </w:r>
            <w:r>
              <w:rPr>
                <w:rFonts w:hint="eastAsia"/>
              </w:rPr>
              <w:t>。</w:t>
            </w:r>
          </w:p>
          <w:p>
            <w:pPr>
              <w:ind w:firstLine="0" w:firstLineChars="0"/>
              <w:jc w:val="center"/>
              <w:rPr>
                <w:b/>
                <w:bCs/>
              </w:rPr>
            </w:pPr>
            <w:r>
              <w:rPr>
                <w:b/>
                <w:bCs/>
              </w:rPr>
              <w:t>表</w:t>
            </w:r>
            <w:r>
              <w:rPr>
                <w:rFonts w:hint="eastAsia"/>
                <w:b/>
                <w:bCs/>
              </w:rPr>
              <w:t>2.1</w:t>
            </w:r>
            <w:r>
              <w:rPr>
                <w:b/>
                <w:bCs/>
              </w:rPr>
              <w:t>-1  环境影响评价分类表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769"/>
              <w:gridCol w:w="2293"/>
              <w:gridCol w:w="180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2254" w:type="dxa"/>
                  <w:gridSpan w:val="2"/>
                  <w:vAlign w:val="center"/>
                </w:tcPr>
                <w:p>
                  <w:pPr>
                    <w:spacing w:line="240" w:lineRule="auto"/>
                    <w:ind w:firstLine="0" w:firstLineChars="0"/>
                    <w:jc w:val="right"/>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column">
                              <wp:posOffset>-67310</wp:posOffset>
                            </wp:positionH>
                            <wp:positionV relativeFrom="paragraph">
                              <wp:posOffset>15240</wp:posOffset>
                            </wp:positionV>
                            <wp:extent cx="1430655" cy="450215"/>
                            <wp:effectExtent l="1270" t="4445" r="3175" b="15240"/>
                            <wp:wrapNone/>
                            <wp:docPr id="1" name="直接连接符 1"/>
                            <wp:cNvGraphicFramePr/>
                            <a:graphic xmlns:a="http://schemas.openxmlformats.org/drawingml/2006/main">
                              <a:graphicData uri="http://schemas.microsoft.com/office/word/2010/wordprocessingShape">
                                <wps:wsp>
                                  <wps:cNvCnPr/>
                                  <wps:spPr>
                                    <a:xfrm>
                                      <a:off x="1532255" y="3270250"/>
                                      <a:ext cx="1430655" cy="45021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3pt;margin-top:1.2pt;height:35.45pt;width:112.65pt;z-index:251660288;mso-width-relative:page;mso-height-relative:page;" filled="f" stroked="t" coordsize="21600,21600" o:gfxdata="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G9zRL1wAAAAgBAAAPAAAAAAAAAAEA&#10;IAAAACIAAABkcnMvZG93bnJldi54bWxQSwECFAAUAAAACACHTuJAKTRI/tcBAAB0AwAADgAAAAAA&#10;AAABACAAAAAmAQAAZHJzL2Uyb0RvYy54bWxQSwUGAAAAAAYABgBZAQAAbwUAAAAA&#10;">
                            <v:fill on="f" focussize="0,0"/>
                            <v:stroke weight="0.5pt" color="#000000 [3213]" miterlimit="8" joinstyle="miter"/>
                            <v:imagedata o:title=""/>
                            <o:lock v:ext="edit" aspectratio="f"/>
                          </v:line>
                        </w:pict>
                      </mc:Fallback>
                    </mc:AlternateContent>
                  </w:r>
                  <w:r>
                    <w:rPr>
                      <w:rFonts w:hint="eastAsia"/>
                      <w:sz w:val="18"/>
                      <w:szCs w:val="18"/>
                    </w:rPr>
                    <w:t xml:space="preserve">       </w:t>
                  </w:r>
                  <w:r>
                    <w:rPr>
                      <w:sz w:val="18"/>
                      <w:szCs w:val="18"/>
                    </w:rPr>
                    <w:t>环评类别</w:t>
                  </w:r>
                </w:p>
                <w:p>
                  <w:pPr>
                    <w:spacing w:line="240" w:lineRule="auto"/>
                    <w:ind w:firstLine="0" w:firstLineChars="0"/>
                    <w:rPr>
                      <w:sz w:val="18"/>
                      <w:szCs w:val="18"/>
                    </w:rPr>
                  </w:pPr>
                </w:p>
                <w:p>
                  <w:pPr>
                    <w:spacing w:line="240" w:lineRule="auto"/>
                    <w:ind w:firstLine="0" w:firstLineChars="0"/>
                    <w:rPr>
                      <w:sz w:val="18"/>
                      <w:szCs w:val="18"/>
                    </w:rPr>
                  </w:pPr>
                  <w:r>
                    <w:rPr>
                      <w:rFonts w:hint="eastAsia"/>
                      <w:sz w:val="18"/>
                      <w:szCs w:val="18"/>
                    </w:rPr>
                    <w:t>项目类别</w:t>
                  </w:r>
                </w:p>
              </w:tc>
              <w:tc>
                <w:tcPr>
                  <w:tcW w:w="2240" w:type="dxa"/>
                  <w:vAlign w:val="center"/>
                </w:tcPr>
                <w:p>
                  <w:pPr>
                    <w:spacing w:line="240" w:lineRule="auto"/>
                    <w:ind w:firstLine="0" w:firstLineChars="0"/>
                    <w:jc w:val="center"/>
                    <w:rPr>
                      <w:sz w:val="18"/>
                      <w:szCs w:val="18"/>
                    </w:rPr>
                  </w:pPr>
                  <w:r>
                    <w:rPr>
                      <w:sz w:val="18"/>
                      <w:szCs w:val="18"/>
                    </w:rPr>
                    <w:t>报告书</w:t>
                  </w:r>
                </w:p>
              </w:tc>
              <w:tc>
                <w:tcPr>
                  <w:tcW w:w="1767" w:type="dxa"/>
                  <w:vAlign w:val="center"/>
                </w:tcPr>
                <w:p>
                  <w:pPr>
                    <w:spacing w:line="240" w:lineRule="auto"/>
                    <w:ind w:firstLine="0" w:firstLineChars="0"/>
                    <w:jc w:val="center"/>
                    <w:rPr>
                      <w:sz w:val="18"/>
                      <w:szCs w:val="18"/>
                    </w:rPr>
                  </w:pPr>
                  <w:r>
                    <w:rPr>
                      <w:sz w:val="18"/>
                      <w:szCs w:val="18"/>
                    </w:rPr>
                    <w:t>报告表</w:t>
                  </w:r>
                </w:p>
              </w:tc>
              <w:tc>
                <w:tcPr>
                  <w:tcW w:w="1441" w:type="dxa"/>
                  <w:vAlign w:val="center"/>
                </w:tcPr>
                <w:p>
                  <w:pPr>
                    <w:spacing w:line="240" w:lineRule="auto"/>
                    <w:ind w:firstLine="0" w:firstLineChars="0"/>
                    <w:jc w:val="center"/>
                    <w:rPr>
                      <w:sz w:val="18"/>
                      <w:szCs w:val="18"/>
                    </w:rPr>
                  </w:pPr>
                  <w:r>
                    <w:rPr>
                      <w:sz w:val="18"/>
                      <w:szCs w:val="18"/>
                    </w:rPr>
                    <w:t>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2" w:type="dxa"/>
                  <w:gridSpan w:val="5"/>
                  <w:vAlign w:val="center"/>
                </w:tcPr>
                <w:p>
                  <w:pPr>
                    <w:spacing w:line="240" w:lineRule="auto"/>
                    <w:ind w:firstLine="0" w:firstLineChars="0"/>
                    <w:rPr>
                      <w:sz w:val="18"/>
                      <w:szCs w:val="18"/>
                    </w:rPr>
                  </w:pPr>
                  <w:r>
                    <w:rPr>
                      <w:rFonts w:hint="eastAsia"/>
                      <w:sz w:val="18"/>
                      <w:szCs w:val="18"/>
                    </w:rPr>
                    <w:t>三十五、电气机械和器材制造业 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Align w:val="center"/>
                </w:tcPr>
                <w:p>
                  <w:pPr>
                    <w:spacing w:line="240" w:lineRule="auto"/>
                    <w:ind w:firstLine="0" w:firstLineChars="0"/>
                    <w:rPr>
                      <w:sz w:val="18"/>
                      <w:szCs w:val="18"/>
                    </w:rPr>
                  </w:pPr>
                  <w:r>
                    <w:rPr>
                      <w:rFonts w:hint="eastAsia"/>
                      <w:sz w:val="18"/>
                      <w:szCs w:val="18"/>
                    </w:rPr>
                    <w:t>53</w:t>
                  </w:r>
                </w:p>
              </w:tc>
              <w:tc>
                <w:tcPr>
                  <w:tcW w:w="1728" w:type="dxa"/>
                  <w:vAlign w:val="center"/>
                </w:tcPr>
                <w:p>
                  <w:pPr>
                    <w:spacing w:line="240" w:lineRule="auto"/>
                    <w:ind w:firstLine="0" w:firstLineChars="0"/>
                    <w:rPr>
                      <w:sz w:val="18"/>
                      <w:szCs w:val="18"/>
                    </w:rPr>
                  </w:pPr>
                  <w:r>
                    <w:rPr>
                      <w:rFonts w:hint="eastAsia"/>
                      <w:sz w:val="18"/>
                      <w:szCs w:val="18"/>
                    </w:rPr>
                    <w:t>电池制造 384；</w:t>
                  </w:r>
                </w:p>
              </w:tc>
              <w:tc>
                <w:tcPr>
                  <w:tcW w:w="2240" w:type="dxa"/>
                  <w:vAlign w:val="center"/>
                </w:tcPr>
                <w:p>
                  <w:pPr>
                    <w:spacing w:line="240" w:lineRule="auto"/>
                    <w:ind w:firstLine="0" w:firstLineChars="0"/>
                    <w:rPr>
                      <w:sz w:val="18"/>
                      <w:szCs w:val="18"/>
                    </w:rPr>
                  </w:pPr>
                  <w:r>
                    <w:rPr>
                      <w:rFonts w:hint="eastAsia"/>
                      <w:sz w:val="18"/>
                      <w:szCs w:val="18"/>
                    </w:rPr>
                    <w:t>铅蓄电池制造；太阳能电池片生产；有电镀工艺的；年用溶剂型涂料（含稀释 剂）10吨及以上的</w:t>
                  </w:r>
                </w:p>
              </w:tc>
              <w:tc>
                <w:tcPr>
                  <w:tcW w:w="1767" w:type="dxa"/>
                  <w:vAlign w:val="center"/>
                </w:tcPr>
                <w:p>
                  <w:pPr>
                    <w:spacing w:line="240" w:lineRule="auto"/>
                    <w:ind w:firstLine="0" w:firstLineChars="0"/>
                    <w:rPr>
                      <w:sz w:val="18"/>
                      <w:szCs w:val="18"/>
                    </w:rPr>
                  </w:pPr>
                  <w:r>
                    <w:rPr>
                      <w:rFonts w:hint="eastAsia"/>
                      <w:sz w:val="18"/>
                      <w:szCs w:val="18"/>
                    </w:rPr>
                    <w:t>其他（仅分割、焊接、组装的除外；年用非溶剂型低VOCs含 量涂料10吨以下的除外）</w:t>
                  </w:r>
                </w:p>
              </w:tc>
              <w:tc>
                <w:tcPr>
                  <w:tcW w:w="1441" w:type="dxa"/>
                  <w:vAlign w:val="center"/>
                </w:tcPr>
                <w:p>
                  <w:pPr>
                    <w:spacing w:line="240" w:lineRule="auto"/>
                    <w:ind w:firstLine="0" w:firstLineChars="0"/>
                    <w:rPr>
                      <w:sz w:val="18"/>
                      <w:szCs w:val="18"/>
                    </w:rPr>
                  </w:pPr>
                  <w:r>
                    <w:rPr>
                      <w:sz w:val="18"/>
                      <w:szCs w:val="18"/>
                    </w:rPr>
                    <w:t>/</w:t>
                  </w:r>
                </w:p>
              </w:tc>
            </w:tr>
          </w:tbl>
          <w:p>
            <w:pPr>
              <w:ind w:firstLine="420"/>
              <w:rPr>
                <w:rFonts w:hint="eastAsia"/>
              </w:rPr>
            </w:pPr>
            <w:r>
              <w:rPr>
                <w:rFonts w:hint="eastAsia"/>
              </w:rPr>
              <w:t>本项目</w:t>
            </w:r>
            <w:r>
              <w:rPr>
                <w:rFonts w:hint="eastAsia"/>
                <w:lang w:val="en-US" w:eastAsia="zh-CN"/>
              </w:rPr>
              <w:t>通过外购或原有项目自产的电芯进行2B模组PACK组装，最后将2B模组PACK组装成储能集装箱，涉及使用导热结构胶对下壳体涂胶工艺，使用密封胶对集装箱进行密封工艺，因此</w:t>
            </w:r>
            <w:r>
              <w:rPr>
                <w:rFonts w:hint="eastAsia"/>
              </w:rPr>
              <w:t>属</w:t>
            </w:r>
            <w:r>
              <w:rPr>
                <w:rFonts w:hint="eastAsia"/>
                <w:lang w:val="en-US" w:eastAsia="zh-CN"/>
              </w:rPr>
              <w:t>于</w:t>
            </w:r>
            <w:r>
              <w:rPr>
                <w:rFonts w:hint="eastAsia"/>
              </w:rPr>
              <w:t>“三十五、电气机械和器材制造业 38；电池制造 384；其他（仅分割、焊接、组装的除外；年用非溶剂型低VOCs含量涂料10吨以下的除外）”，需编制环境影响报告表。</w:t>
            </w:r>
          </w:p>
          <w:p>
            <w:pPr>
              <w:bidi w:val="0"/>
              <w:rPr>
                <w:rFonts w:hint="default"/>
                <w:lang w:val="en-US" w:eastAsia="zh-CN"/>
              </w:rPr>
            </w:pPr>
            <w:r>
              <w:rPr>
                <w:rFonts w:hint="eastAsia"/>
              </w:rPr>
              <w:t>根据《浙江省人民政府办公室关于全面推行“区域环评+环境标准”改革的指导意见》（浙政办发〔2017〕57 号）、《海宁经济开发区尖山新区“区域环评+环境标准”改革实施方案（试行）》，“在我区属环评审批负面清单外且符合准入环境标准的项目，原要求编制环境影响报告书的，可以编制环境影响报告表；原要求编制环境影响报告表的，可以填报环境影响登记表”。</w:t>
            </w:r>
            <w:r>
              <w:rPr>
                <w:rFonts w:hint="eastAsia"/>
                <w:lang w:val="en-US" w:eastAsia="zh-CN"/>
              </w:rPr>
              <w:t>本项目新增挥发性有机物排放，属于《海宁经济开发区尖山新区“区域环评+环境标准”改革实施方案（试行）》环评审批负面清单内，故项目不做降级处理。</w:t>
            </w:r>
          </w:p>
          <w:p>
            <w:pPr>
              <w:pStyle w:val="6"/>
            </w:pPr>
            <w:bookmarkStart w:id="8" w:name="_Toc12049"/>
            <w:r>
              <w:t>2.1.2排污许可管理类别判定</w:t>
            </w:r>
            <w:bookmarkEnd w:id="8"/>
          </w:p>
          <w:p>
            <w:pPr>
              <w:adjustRightInd w:val="0"/>
              <w:ind w:firstLine="420"/>
            </w:pPr>
            <w:r>
              <w:rPr>
                <w:rFonts w:hint="eastAsia"/>
              </w:rPr>
              <w:t>根据《国务院办公厅关于印发控制污染物排放许可制实施方案的通知》（国办发[</w:t>
            </w:r>
            <w:r>
              <w:t>2016]81</w:t>
            </w:r>
            <w:r>
              <w:rPr>
                <w:rFonts w:hint="eastAsia"/>
              </w:rPr>
              <w:t>号）、《排污许可管理条例》等文件要求，排污单位应当依法持有排污许可证，并按照排污许可证的规定排放污染物。应当取得排污许可证而未取得的，不得排放污染物。因此，企业应在项目发生实际排污行为前根据要求取得排污许可证或进行排污许可</w:t>
            </w:r>
            <w:r>
              <w:rPr>
                <w:rFonts w:hint="eastAsia"/>
                <w:lang w:val="en-US" w:eastAsia="zh-CN"/>
              </w:rPr>
              <w:t>申领或变更</w:t>
            </w:r>
            <w:r>
              <w:rPr>
                <w:rFonts w:hint="eastAsia"/>
              </w:rPr>
              <w:t>。根据《固定污染源排污许可分类管理名录》（2</w:t>
            </w:r>
            <w:r>
              <w:t>019</w:t>
            </w:r>
            <w:r>
              <w:rPr>
                <w:rFonts w:hint="eastAsia"/>
              </w:rPr>
              <w:t>年版），本项目排污许可类别判定见表2</w:t>
            </w:r>
            <w:r>
              <w:t>.1-2</w:t>
            </w:r>
            <w:r>
              <w:rPr>
                <w:rFonts w:hint="eastAsia"/>
              </w:rPr>
              <w:t>。</w:t>
            </w:r>
          </w:p>
          <w:p>
            <w:pPr>
              <w:adjustRightInd/>
              <w:spacing w:line="240" w:lineRule="auto"/>
              <w:ind w:firstLine="0" w:firstLineChars="0"/>
              <w:jc w:val="center"/>
              <w:rPr>
                <w:b/>
                <w:bCs/>
              </w:rPr>
            </w:pPr>
            <w:r>
              <w:rPr>
                <w:b/>
                <w:bCs/>
              </w:rPr>
              <w:t>表</w:t>
            </w:r>
            <w:r>
              <w:rPr>
                <w:rFonts w:hint="eastAsia"/>
                <w:b/>
                <w:bCs/>
              </w:rPr>
              <w:t>2.1</w:t>
            </w:r>
            <w:r>
              <w:rPr>
                <w:b/>
                <w:bCs/>
              </w:rPr>
              <w:t xml:space="preserve">-2  </w:t>
            </w:r>
            <w:r>
              <w:rPr>
                <w:rFonts w:hint="eastAsia"/>
                <w:b/>
                <w:bCs/>
              </w:rPr>
              <w:t>排污许可类别判别表</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484"/>
              <w:gridCol w:w="1658"/>
              <w:gridCol w:w="2958"/>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spacing w:line="240" w:lineRule="auto"/>
                    <w:ind w:firstLine="0" w:firstLineChars="0"/>
                    <w:jc w:val="right"/>
                    <w:rPr>
                      <w:rFonts w:hint="eastAsia" w:ascii="Times New Roman" w:hAnsi="Times New Roman" w:eastAsia="宋体"/>
                      <w:sz w:val="18"/>
                      <w:szCs w:val="18"/>
                    </w:rPr>
                  </w:pPr>
                  <w:r>
                    <w:rPr>
                      <w:rFonts w:hint="eastAsia" w:ascii="Times New Roman" w:hAnsi="Times New Roman" w:eastAsia="宋体"/>
                      <w:sz w:val="18"/>
                      <w:szCs w:val="18"/>
                    </w:rPr>
                    <w:t>序号</w:t>
                  </w:r>
                </w:p>
              </w:tc>
              <w:tc>
                <w:tcPr>
                  <w:tcW w:w="145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行业类别</w:t>
                  </w:r>
                </w:p>
              </w:tc>
              <w:tc>
                <w:tcPr>
                  <w:tcW w:w="162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重点管理</w:t>
                  </w:r>
                </w:p>
              </w:tc>
              <w:tc>
                <w:tcPr>
                  <w:tcW w:w="289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简化管理</w:t>
                  </w:r>
                </w:p>
              </w:tc>
              <w:tc>
                <w:tcPr>
                  <w:tcW w:w="1137"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登记管理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1" w:type="dxa"/>
                  <w:gridSpan w:val="5"/>
                  <w:vAlign w:val="center"/>
                </w:tcPr>
                <w:p>
                  <w:pPr>
                    <w:spacing w:line="240" w:lineRule="auto"/>
                    <w:ind w:firstLine="0" w:firstLineChars="0"/>
                    <w:jc w:val="left"/>
                    <w:rPr>
                      <w:rFonts w:hint="eastAsia" w:ascii="Times New Roman" w:hAnsi="Times New Roman" w:eastAsia="宋体"/>
                      <w:sz w:val="18"/>
                      <w:szCs w:val="18"/>
                    </w:rPr>
                  </w:pPr>
                  <w:r>
                    <w:rPr>
                      <w:rFonts w:hint="eastAsia" w:ascii="Times New Roman" w:hAnsi="Times New Roman" w:eastAsia="宋体"/>
                      <w:sz w:val="18"/>
                      <w:szCs w:val="18"/>
                    </w:rPr>
                    <w:t>三十三、电气机械和器材制造业 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spacing w:line="240" w:lineRule="auto"/>
                    <w:ind w:firstLine="0" w:firstLineChars="0"/>
                    <w:jc w:val="center"/>
                    <w:rPr>
                      <w:rFonts w:hint="default" w:ascii="Times New Roman" w:hAnsi="Times New Roman" w:eastAsia="宋体"/>
                      <w:sz w:val="18"/>
                      <w:szCs w:val="18"/>
                      <w:lang w:val="en-US" w:eastAsia="zh-CN"/>
                    </w:rPr>
                  </w:pPr>
                  <w:r>
                    <w:rPr>
                      <w:rFonts w:hint="eastAsia"/>
                      <w:sz w:val="18"/>
                      <w:szCs w:val="18"/>
                      <w:lang w:val="en-US" w:eastAsia="zh-CN"/>
                    </w:rPr>
                    <w:t>88</w:t>
                  </w:r>
                </w:p>
              </w:tc>
              <w:tc>
                <w:tcPr>
                  <w:tcW w:w="145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电池制造 384</w:t>
                  </w:r>
                </w:p>
              </w:tc>
              <w:tc>
                <w:tcPr>
                  <w:tcW w:w="162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铅酸蓄电池制造3843</w:t>
                  </w:r>
                </w:p>
              </w:tc>
              <w:tc>
                <w:tcPr>
                  <w:tcW w:w="2890" w:type="dxa"/>
                  <w:vAlign w:val="center"/>
                </w:tcPr>
                <w:p>
                  <w:pPr>
                    <w:spacing w:line="240" w:lineRule="auto"/>
                    <w:ind w:firstLine="0" w:firstLineChars="0"/>
                    <w:jc w:val="center"/>
                    <w:rPr>
                      <w:rFonts w:hint="eastAsia" w:ascii="Times New Roman" w:hAnsi="Times New Roman" w:eastAsia="宋体"/>
                      <w:sz w:val="18"/>
                      <w:szCs w:val="18"/>
                    </w:rPr>
                  </w:pPr>
                  <w:r>
                    <w:rPr>
                      <w:rFonts w:hint="eastAsia" w:ascii="Times New Roman" w:hAnsi="Times New Roman" w:eastAsia="宋体"/>
                      <w:sz w:val="18"/>
                      <w:szCs w:val="18"/>
                    </w:rPr>
                    <w:t>锂离子电池制造 3841，镍氢电池制造 3842，锌锰电池制造 3844，其他 电池制造 3849</w:t>
                  </w:r>
                </w:p>
              </w:tc>
              <w:tc>
                <w:tcPr>
                  <w:tcW w:w="1137" w:type="dxa"/>
                  <w:vAlign w:val="center"/>
                </w:tcPr>
                <w:p>
                  <w:pPr>
                    <w:spacing w:line="240" w:lineRule="auto"/>
                    <w:ind w:firstLine="0" w:firstLineChars="0"/>
                    <w:jc w:val="center"/>
                    <w:rPr>
                      <w:rFonts w:hint="eastAsia" w:ascii="Times New Roman" w:hAnsi="Times New Roman" w:eastAsia="宋体"/>
                      <w:sz w:val="18"/>
                      <w:szCs w:val="18"/>
                      <w:lang w:eastAsia="zh-CN"/>
                    </w:rPr>
                  </w:pPr>
                  <w:r>
                    <w:rPr>
                      <w:rFonts w:hint="eastAsia"/>
                      <w:sz w:val="18"/>
                      <w:szCs w:val="18"/>
                      <w:lang w:val="en-US" w:eastAsia="zh-CN"/>
                    </w:rPr>
                    <w:t>/</w:t>
                  </w:r>
                </w:p>
              </w:tc>
            </w:tr>
          </w:tbl>
          <w:p>
            <w:pPr>
              <w:bidi w:val="0"/>
            </w:pPr>
            <w:r>
              <w:rPr>
                <w:rFonts w:hint="eastAsia"/>
              </w:rPr>
              <w:t>本项目</w:t>
            </w:r>
            <w:r>
              <w:rPr>
                <w:rFonts w:hint="eastAsia"/>
                <w:lang w:val="en-US" w:eastAsia="zh-CN"/>
              </w:rPr>
              <w:t>为储能集装箱生产制造</w:t>
            </w:r>
            <w:r>
              <w:rPr>
                <w:rFonts w:hint="eastAsia"/>
              </w:rPr>
              <w:t>，属于《固定污染源排污许可分类管理名录》（2</w:t>
            </w:r>
            <w:r>
              <w:t>019</w:t>
            </w:r>
            <w:r>
              <w:rPr>
                <w:rFonts w:hint="eastAsia"/>
              </w:rPr>
              <w:t>年版）中“三十三、电气机械和器材制造业 38”中第</w:t>
            </w:r>
            <w:r>
              <w:rPr>
                <w:rFonts w:hint="eastAsia"/>
                <w:lang w:val="en-US" w:eastAsia="zh-CN"/>
              </w:rPr>
              <w:t>88</w:t>
            </w:r>
            <w:r>
              <w:rPr>
                <w:rFonts w:hint="eastAsia"/>
              </w:rPr>
              <w:t>项“电池制造 384”中的“电池制造 384”，应实行</w:t>
            </w:r>
            <w:r>
              <w:rPr>
                <w:rFonts w:hint="eastAsia"/>
                <w:lang w:val="en-US" w:eastAsia="zh-CN"/>
              </w:rPr>
              <w:t>简化</w:t>
            </w:r>
            <w:r>
              <w:rPr>
                <w:rFonts w:hint="eastAsia"/>
              </w:rPr>
              <w:t>管理。企业应在项目发生实际排污行为前、按规定更新排污许可。</w:t>
            </w:r>
          </w:p>
          <w:p>
            <w:pPr>
              <w:pStyle w:val="5"/>
              <w:bidi w:val="0"/>
              <w:rPr>
                <w:rFonts w:hint="default"/>
              </w:rPr>
            </w:pPr>
            <w:bookmarkStart w:id="9" w:name="_Toc1629"/>
            <w:r>
              <w:t>2.2项目建设内容</w:t>
            </w:r>
            <w:bookmarkEnd w:id="9"/>
          </w:p>
          <w:p>
            <w:pPr>
              <w:pStyle w:val="6"/>
              <w:bidi w:val="0"/>
            </w:pPr>
            <w:bookmarkStart w:id="10" w:name="_Toc17683"/>
            <w:r>
              <w:t>2.2.1项目概况</w:t>
            </w:r>
            <w:bookmarkEnd w:id="10"/>
          </w:p>
          <w:p>
            <w:pPr>
              <w:numPr>
                <w:ilvl w:val="0"/>
                <w:numId w:val="1"/>
              </w:numPr>
              <w:ind w:firstLine="420"/>
            </w:pPr>
            <w:r>
              <w:t>项目名称：</w:t>
            </w:r>
            <w:r>
              <w:rPr>
                <w:rFonts w:hint="eastAsia"/>
                <w:lang w:eastAsia="zh-CN"/>
              </w:rPr>
              <w:t>新建年产5GWh储能系统项目</w:t>
            </w:r>
          </w:p>
          <w:p>
            <w:pPr>
              <w:numPr>
                <w:ilvl w:val="0"/>
                <w:numId w:val="1"/>
              </w:numPr>
              <w:ind w:firstLine="420"/>
            </w:pPr>
            <w:r>
              <w:t>项目性质：</w:t>
            </w:r>
            <w:r>
              <w:rPr>
                <w:rFonts w:hint="eastAsia"/>
              </w:rPr>
              <w:t>扩建</w:t>
            </w:r>
          </w:p>
          <w:p>
            <w:pPr>
              <w:numPr>
                <w:ilvl w:val="0"/>
                <w:numId w:val="1"/>
              </w:numPr>
              <w:ind w:firstLine="420"/>
            </w:pPr>
            <w:r>
              <w:t>建设单位：</w:t>
            </w:r>
            <w:bookmarkStart w:id="46" w:name="_GoBack"/>
            <w:r>
              <w:rPr>
                <w:rFonts w:hint="eastAsia"/>
                <w:lang w:eastAsia="zh-CN"/>
              </w:rPr>
              <w:t>浙江晶科储能有限公司</w:t>
            </w:r>
            <w:bookmarkEnd w:id="46"/>
          </w:p>
          <w:p>
            <w:pPr>
              <w:numPr>
                <w:ilvl w:val="0"/>
                <w:numId w:val="1"/>
              </w:numPr>
              <w:ind w:firstLine="420"/>
            </w:pPr>
            <w:r>
              <w:t>项目投资：</w:t>
            </w:r>
            <w:r>
              <w:rPr>
                <w:rFonts w:hint="eastAsia"/>
                <w:lang w:val="en-US" w:eastAsia="zh-CN"/>
              </w:rPr>
              <w:t>11000</w:t>
            </w:r>
            <w:r>
              <w:rPr>
                <w:rFonts w:hint="eastAsia"/>
              </w:rPr>
              <w:t>万元</w:t>
            </w:r>
          </w:p>
          <w:p>
            <w:pPr>
              <w:ind w:firstLine="420"/>
            </w:pPr>
            <w:r>
              <w:t>（5）项目选址：</w:t>
            </w:r>
            <w:r>
              <w:rPr>
                <w:rFonts w:hint="eastAsia"/>
              </w:rPr>
              <w:t>浙江省</w:t>
            </w:r>
            <w:r>
              <w:rPr>
                <w:rFonts w:hint="eastAsia"/>
                <w:lang w:eastAsia="zh-CN"/>
              </w:rPr>
              <w:t>嘉兴市海宁市黄湾镇尖山新区向心路8号</w:t>
            </w:r>
            <w:r>
              <w:rPr>
                <w:rFonts w:hint="eastAsia"/>
              </w:rPr>
              <w:t>。</w:t>
            </w:r>
          </w:p>
          <w:p>
            <w:pPr>
              <w:ind w:firstLine="420"/>
            </w:pPr>
            <w:r>
              <w:t>（6）</w:t>
            </w:r>
            <w:bookmarkStart w:id="11" w:name="_Hlk129789336"/>
            <w:r>
              <w:t>建设内容：</w:t>
            </w:r>
            <w:bookmarkEnd w:id="11"/>
            <w:r>
              <w:rPr>
                <w:rFonts w:hint="eastAsia"/>
              </w:rPr>
              <w:t>企业利用现有空余厂房，总投资11000万元，购置电芯模组及储能系统装配等设备，形成年产5GWh储能系统的生产能力。项目建成后，预计年可实现产值300000万元。</w:t>
            </w:r>
            <w:r>
              <w:t>本项目工程组成</w:t>
            </w:r>
            <w:r>
              <w:rPr>
                <w:rFonts w:hint="eastAsia"/>
              </w:rPr>
              <w:t>及实施前后工程变化情况</w:t>
            </w:r>
            <w:r>
              <w:t>见表</w:t>
            </w:r>
            <w:r>
              <w:rPr>
                <w:rFonts w:hint="eastAsia"/>
              </w:rPr>
              <w:t>2.</w:t>
            </w:r>
            <w:r>
              <w:t>2</w:t>
            </w:r>
            <w:r>
              <w:rPr>
                <w:rFonts w:hint="eastAsia"/>
              </w:rPr>
              <w:t>-1</w:t>
            </w:r>
            <w:r>
              <w:t>。</w:t>
            </w:r>
          </w:p>
          <w:p>
            <w:pPr>
              <w:adjustRightInd w:val="0"/>
              <w:ind w:firstLine="0" w:firstLineChars="0"/>
              <w:jc w:val="center"/>
              <w:rPr>
                <w:b/>
                <w:szCs w:val="21"/>
              </w:rPr>
            </w:pPr>
            <w:r>
              <w:rPr>
                <w:b/>
                <w:szCs w:val="21"/>
              </w:rPr>
              <w:t>表</w:t>
            </w:r>
            <w:r>
              <w:rPr>
                <w:rFonts w:hint="eastAsia"/>
                <w:b/>
                <w:szCs w:val="21"/>
              </w:rPr>
              <w:t>2.</w:t>
            </w:r>
            <w:r>
              <w:rPr>
                <w:b/>
                <w:szCs w:val="21"/>
              </w:rPr>
              <w:t>2</w:t>
            </w:r>
            <w:r>
              <w:rPr>
                <w:rFonts w:hint="eastAsia"/>
                <w:b/>
                <w:szCs w:val="21"/>
              </w:rPr>
              <w:t xml:space="preserve">-1  </w:t>
            </w:r>
            <w:r>
              <w:rPr>
                <w:b/>
                <w:szCs w:val="21"/>
              </w:rPr>
              <w:t>工程组成</w:t>
            </w:r>
            <w:r>
              <w:rPr>
                <w:rFonts w:hint="eastAsia"/>
                <w:b/>
                <w:szCs w:val="21"/>
              </w:rPr>
              <w:t>及实施前后工程变化情况</w:t>
            </w:r>
            <w:r>
              <w:rPr>
                <w:b/>
                <w:szCs w:val="21"/>
              </w:rPr>
              <w:t>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037"/>
              <w:gridCol w:w="3649"/>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工程内容</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主体工程</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企业利用现有空余厂房，总投资11000万元，购置电芯模组及储能系统装配等设备，形成年产5GWh储能系统的生产能力</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w:t>
                  </w:r>
                  <w:r>
                    <w:rPr>
                      <w:rFonts w:hint="eastAsia"/>
                      <w:sz w:val="18"/>
                      <w:szCs w:val="18"/>
                    </w:rPr>
                    <w:t>M2模组厂房</w:t>
                  </w:r>
                  <w:r>
                    <w:rPr>
                      <w:rFonts w:hint="eastAsia"/>
                      <w:sz w:val="18"/>
                      <w:szCs w:val="18"/>
                      <w:lang w:val="en-US" w:eastAsia="zh-CN"/>
                    </w:rPr>
                    <w:t>和C1系统厂房生产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辅助工程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综合楼</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人员办公</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餐厅</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厂区人员就餐及食物加工</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公用工程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供水</w:t>
                  </w:r>
                  <w:r>
                    <w:rPr>
                      <w:rFonts w:hint="eastAsia"/>
                      <w:sz w:val="18"/>
                      <w:szCs w:val="18"/>
                      <w:lang w:val="en-US" w:eastAsia="zh-CN"/>
                    </w:rPr>
                    <w:t>系统</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自来水由市政供水管网提供</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排水系统</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项目排水采用雨、污分流制度</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供电系统</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市政电网供应</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空调系统</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项目实施设置在现有车间内，依托现有空调系统。</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环保</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废水</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本项目仅排放生活污水，依托现有污水站进行处理，</w:t>
                  </w:r>
                  <w:r>
                    <w:rPr>
                      <w:rFonts w:hint="eastAsia"/>
                      <w:sz w:val="18"/>
                      <w:szCs w:val="18"/>
                    </w:rPr>
                    <w:t>处理能力为</w:t>
                  </w:r>
                  <w:r>
                    <w:rPr>
                      <w:rFonts w:hint="eastAsia"/>
                      <w:sz w:val="18"/>
                      <w:szCs w:val="18"/>
                      <w:lang w:val="en-US" w:eastAsia="zh-CN"/>
                    </w:rPr>
                    <w:t>489</w:t>
                  </w:r>
                  <w:r>
                    <w:rPr>
                      <w:rFonts w:hint="eastAsia"/>
                      <w:sz w:val="18"/>
                      <w:szCs w:val="18"/>
                    </w:rPr>
                    <w:t>t/d（</w:t>
                  </w:r>
                  <w:r>
                    <w:rPr>
                      <w:rFonts w:hint="eastAsia"/>
                      <w:sz w:val="18"/>
                      <w:szCs w:val="18"/>
                      <w:lang w:val="en-US" w:eastAsia="zh-CN"/>
                    </w:rPr>
                    <w:t>综合废水</w:t>
                  </w:r>
                  <w:r>
                    <w:rPr>
                      <w:rFonts w:hint="eastAsia"/>
                      <w:sz w:val="18"/>
                      <w:szCs w:val="18"/>
                    </w:rPr>
                    <w:t>），废水经污水处理站处理达标后纳入市政污水管网，经尖山污水处理厂处理达标后排放</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依托现有污水站，</w:t>
                  </w:r>
                  <w:r>
                    <w:rPr>
                      <w:rFonts w:hint="eastAsia"/>
                      <w:sz w:val="18"/>
                      <w:szCs w:val="18"/>
                      <w:lang w:val="en-US" w:eastAsia="zh-CN"/>
                    </w:rPr>
                    <w:t>现有污水站处理能力为489t/d，</w:t>
                  </w:r>
                  <w:r>
                    <w:rPr>
                      <w:rFonts w:hint="default"/>
                      <w:sz w:val="18"/>
                      <w:szCs w:val="18"/>
                      <w:lang w:val="en-US" w:eastAsia="zh-CN"/>
                    </w:rPr>
                    <w:t>现有项目需处理</w:t>
                  </w:r>
                  <w:r>
                    <w:rPr>
                      <w:rFonts w:hint="eastAsia"/>
                      <w:sz w:val="18"/>
                      <w:szCs w:val="18"/>
                      <w:lang w:val="en-US" w:eastAsia="zh-CN"/>
                    </w:rPr>
                    <w:t>综合废水431.66</w:t>
                  </w:r>
                  <w:r>
                    <w:rPr>
                      <w:rFonts w:hint="default"/>
                      <w:sz w:val="18"/>
                      <w:szCs w:val="18"/>
                      <w:lang w:val="en-US" w:eastAsia="zh-CN"/>
                    </w:rPr>
                    <w:t>t/d，尚有</w:t>
                  </w:r>
                  <w:r>
                    <w:rPr>
                      <w:rFonts w:hint="eastAsia"/>
                      <w:sz w:val="18"/>
                      <w:szCs w:val="18"/>
                      <w:lang w:val="en-US" w:eastAsia="zh-CN"/>
                    </w:rPr>
                    <w:t>57.34</w:t>
                  </w:r>
                  <w:r>
                    <w:rPr>
                      <w:rFonts w:hint="default"/>
                      <w:sz w:val="18"/>
                      <w:szCs w:val="18"/>
                      <w:lang w:val="en-US" w:eastAsia="zh-CN"/>
                    </w:rPr>
                    <w:t>t/d的余量，本项</w:t>
                  </w:r>
                  <w:r>
                    <w:rPr>
                      <w:rFonts w:hint="default"/>
                      <w:sz w:val="18"/>
                      <w:szCs w:val="18"/>
                      <w:shd w:val="clear"/>
                      <w:lang w:val="en-US" w:eastAsia="zh-CN"/>
                    </w:rPr>
                    <w:t>目新增</w:t>
                  </w:r>
                  <w:r>
                    <w:rPr>
                      <w:rFonts w:hint="eastAsia"/>
                      <w:sz w:val="18"/>
                      <w:szCs w:val="18"/>
                      <w:shd w:val="clear"/>
                      <w:lang w:val="en-US" w:eastAsia="zh-CN"/>
                    </w:rPr>
                    <w:t>生活污水12.6</w:t>
                  </w:r>
                  <w:r>
                    <w:rPr>
                      <w:rFonts w:hint="default"/>
                      <w:sz w:val="18"/>
                      <w:szCs w:val="18"/>
                      <w:shd w:val="clear"/>
                      <w:lang w:val="en-US" w:eastAsia="zh-CN"/>
                    </w:rPr>
                    <w:t>t/d，具有可依托</w:t>
                  </w:r>
                  <w:r>
                    <w:rPr>
                      <w:rFonts w:hint="default"/>
                      <w:sz w:val="18"/>
                      <w:szCs w:val="18"/>
                      <w:lang w:val="en-US" w:eastAsia="zh-CN"/>
                    </w:rPr>
                    <w:t>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模组PACK废气</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激光清洁、激光焊接、焊后清洁废气：除尘器处理后洁净</w:t>
                  </w:r>
                  <w:r>
                    <w:rPr>
                      <w:rFonts w:hint="eastAsia"/>
                      <w:sz w:val="18"/>
                      <w:szCs w:val="18"/>
                      <w:lang w:val="en-US" w:eastAsia="zh-CN"/>
                    </w:rPr>
                    <w:t>车</w:t>
                  </w:r>
                  <w:r>
                    <w:rPr>
                      <w:rFonts w:hint="eastAsia"/>
                      <w:sz w:val="18"/>
                      <w:szCs w:val="18"/>
                    </w:rPr>
                    <w:t>间内排放；</w:t>
                  </w:r>
                </w:p>
              </w:tc>
              <w:tc>
                <w:tcPr>
                  <w:tcW w:w="1714" w:type="pct"/>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模组PACK生产线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涂胶废气：源头削减，采用低VOCs含量胶黏剂，涂胶废气</w:t>
                  </w:r>
                  <w:r>
                    <w:rPr>
                      <w:rFonts w:hint="eastAsia"/>
                      <w:sz w:val="18"/>
                      <w:szCs w:val="18"/>
                      <w:lang w:eastAsia="zh-CN"/>
                    </w:rPr>
                    <w:t>、</w:t>
                  </w:r>
                  <w:r>
                    <w:rPr>
                      <w:rFonts w:hint="eastAsia"/>
                      <w:sz w:val="18"/>
                      <w:szCs w:val="18"/>
                      <w:lang w:val="en-US" w:eastAsia="zh-CN"/>
                    </w:rPr>
                    <w:t>设备擦拭废气在</w:t>
                  </w:r>
                  <w:r>
                    <w:rPr>
                      <w:rFonts w:hint="eastAsia"/>
                      <w:sz w:val="18"/>
                      <w:szCs w:val="18"/>
                    </w:rPr>
                    <w:t>洁净</w:t>
                  </w:r>
                  <w:r>
                    <w:rPr>
                      <w:rFonts w:hint="eastAsia"/>
                      <w:sz w:val="18"/>
                      <w:szCs w:val="18"/>
                      <w:lang w:val="en-US" w:eastAsia="zh-CN"/>
                    </w:rPr>
                    <w:t>车</w:t>
                  </w:r>
                  <w:r>
                    <w:rPr>
                      <w:rFonts w:hint="eastAsia"/>
                      <w:sz w:val="18"/>
                      <w:szCs w:val="18"/>
                    </w:rPr>
                    <w:t>间内排放；</w:t>
                  </w:r>
                </w:p>
              </w:tc>
              <w:tc>
                <w:tcPr>
                  <w:tcW w:w="1714" w:type="pct"/>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设备擦拭废气：酒精废气洁净车间内排放</w:t>
                  </w:r>
                </w:p>
              </w:tc>
              <w:tc>
                <w:tcPr>
                  <w:tcW w:w="1714" w:type="pct"/>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系统组装废气</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打胶废气：</w:t>
                  </w:r>
                  <w:r>
                    <w:rPr>
                      <w:rFonts w:hint="eastAsia"/>
                      <w:sz w:val="18"/>
                      <w:szCs w:val="18"/>
                    </w:rPr>
                    <w:t>源头削减，采用低VOCs含量胶黏剂，</w:t>
                  </w:r>
                  <w:r>
                    <w:rPr>
                      <w:rFonts w:hint="eastAsia"/>
                      <w:sz w:val="18"/>
                      <w:szCs w:val="18"/>
                      <w:lang w:val="en-US" w:eastAsia="zh-CN"/>
                    </w:rPr>
                    <w:t>打胶</w:t>
                  </w:r>
                  <w:r>
                    <w:rPr>
                      <w:rFonts w:hint="eastAsia"/>
                      <w:sz w:val="18"/>
                      <w:szCs w:val="18"/>
                    </w:rPr>
                    <w:t>废气</w:t>
                  </w:r>
                  <w:r>
                    <w:rPr>
                      <w:rFonts w:hint="eastAsia"/>
                      <w:sz w:val="18"/>
                      <w:szCs w:val="18"/>
                      <w:lang w:val="en-US" w:eastAsia="zh-CN"/>
                    </w:rPr>
                    <w:t>在</w:t>
                  </w:r>
                  <w:r>
                    <w:rPr>
                      <w:rFonts w:hint="eastAsia"/>
                      <w:sz w:val="18"/>
                      <w:szCs w:val="18"/>
                    </w:rPr>
                    <w:t>洁净</w:t>
                  </w:r>
                  <w:r>
                    <w:rPr>
                      <w:rFonts w:hint="eastAsia"/>
                      <w:sz w:val="18"/>
                      <w:szCs w:val="18"/>
                      <w:lang w:val="en-US" w:eastAsia="zh-CN"/>
                    </w:rPr>
                    <w:t>车</w:t>
                  </w:r>
                  <w:r>
                    <w:rPr>
                      <w:rFonts w:hint="eastAsia"/>
                      <w:sz w:val="18"/>
                      <w:szCs w:val="18"/>
                    </w:rPr>
                    <w:t>间内排放；</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系统组装生产线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公用工程废气</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食堂油烟：油烟净化器1套</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污水处理站废气：“碱喷淋+除雾+活性炭吸附”装置1套</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危废仓库</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位于厂区西北侧，建筑面积1499.1m</w:t>
                  </w:r>
                  <w:r>
                    <w:rPr>
                      <w:rFonts w:hint="eastAsia"/>
                      <w:sz w:val="18"/>
                      <w:szCs w:val="18"/>
                      <w:vertAlign w:val="superscript"/>
                    </w:rPr>
                    <w:t>2</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一般固废仓库</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位于厂区西北侧，建筑面积1300m</w:t>
                  </w:r>
                  <w:r>
                    <w:rPr>
                      <w:rFonts w:hint="eastAsia"/>
                      <w:sz w:val="18"/>
                      <w:szCs w:val="18"/>
                      <w:vertAlign w:val="superscript"/>
                    </w:rPr>
                    <w:t>2</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其他</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初期雨水池（兼做事故应急池），容积900立方米。</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bookmarkStart w:id="12" w:name="_Toc5651"/>
                  <w:r>
                    <w:rPr>
                      <w:rFonts w:hint="eastAsia"/>
                      <w:sz w:val="18"/>
                      <w:szCs w:val="18"/>
                    </w:rPr>
                    <w:t>储运工程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H1原料仓</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结构胶等原辅材料储存</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电芯成品仓（含模组原料仓）</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主要用于成品电芯的储存、PACK生产线外购电芯的储存、模组PACK工序原材料的储存</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lang w:val="en-US" w:eastAsia="zh-CN"/>
                    </w:rPr>
                    <w:t>依托现有设施可行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PACK成品仓</w:t>
                  </w:r>
                </w:p>
              </w:tc>
              <w:tc>
                <w:tcPr>
                  <w:tcW w:w="23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2BPACK储存，储能集装箱装配所需的原材料储存</w:t>
                  </w:r>
                </w:p>
              </w:tc>
              <w:tc>
                <w:tcPr>
                  <w:tcW w:w="1714"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依托现有设施可行</w:t>
                  </w:r>
                </w:p>
              </w:tc>
            </w:tr>
          </w:tbl>
          <w:p>
            <w:pPr>
              <w:pStyle w:val="6"/>
            </w:pPr>
            <w:r>
              <w:t>2.2.2项目产品方案及生产规模</w:t>
            </w:r>
            <w:bookmarkEnd w:id="12"/>
          </w:p>
          <w:p>
            <w:pPr>
              <w:bidi w:val="0"/>
            </w:pPr>
            <w:bookmarkStart w:id="13" w:name="_Toc2902"/>
            <w:bookmarkStart w:id="14" w:name="_Toc5725"/>
            <w:r>
              <w:t>根据建设单位提供的资料，本项目产品方案见表</w:t>
            </w:r>
            <w:r>
              <w:rPr>
                <w:rFonts w:hint="eastAsia"/>
              </w:rPr>
              <w:t>2.</w:t>
            </w:r>
            <w:r>
              <w:t>2</w:t>
            </w:r>
            <w:r>
              <w:rPr>
                <w:rFonts w:hint="eastAsia"/>
              </w:rPr>
              <w:t>-2</w:t>
            </w:r>
            <w:r>
              <w:t>。</w:t>
            </w:r>
            <w:bookmarkEnd w:id="13"/>
            <w:bookmarkEnd w:id="14"/>
          </w:p>
          <w:p>
            <w:pPr>
              <w:adjustRightInd/>
              <w:ind w:firstLine="0" w:firstLineChars="0"/>
              <w:jc w:val="center"/>
              <w:rPr>
                <w:b/>
                <w:bCs/>
              </w:rPr>
            </w:pPr>
            <w:r>
              <w:rPr>
                <w:b/>
                <w:bCs/>
              </w:rPr>
              <w:t>表</w:t>
            </w:r>
            <w:r>
              <w:rPr>
                <w:rFonts w:hint="eastAsia"/>
                <w:b/>
                <w:bCs/>
              </w:rPr>
              <w:t>2.</w:t>
            </w:r>
            <w:r>
              <w:rPr>
                <w:b/>
                <w:bCs/>
              </w:rPr>
              <w:t>2</w:t>
            </w:r>
            <w:r>
              <w:rPr>
                <w:rFonts w:hint="eastAsia"/>
                <w:b/>
                <w:bCs/>
              </w:rPr>
              <w:t xml:space="preserve">-2  </w:t>
            </w:r>
            <w:r>
              <w:rPr>
                <w:b/>
                <w:bCs/>
              </w:rPr>
              <w:t>本项目产品方案一览表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58"/>
              <w:gridCol w:w="1049"/>
              <w:gridCol w:w="895"/>
              <w:gridCol w:w="1178"/>
              <w:gridCol w:w="3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产品</w:t>
                  </w:r>
                  <w:r>
                    <w:rPr>
                      <w:sz w:val="18"/>
                      <w:szCs w:val="18"/>
                    </w:rPr>
                    <w:t>名称</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已审批规模</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本项目规模</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本项目实施后全厂规模</w:t>
                  </w:r>
                </w:p>
              </w:tc>
              <w:tc>
                <w:tcPr>
                  <w:tcW w:w="31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2" w:type="dxa"/>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产品方案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LFP方形电芯</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12GWh/a</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12GWh/a</w:t>
                  </w:r>
                </w:p>
              </w:tc>
              <w:tc>
                <w:tcPr>
                  <w:tcW w:w="31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其中11GWH用于2B PACK和储能集装箱生产，1GWH满足《电力储能用锂离子电池》（GB/T 36276-2018）后外售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80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储能 PACK</w:t>
                  </w:r>
                </w:p>
              </w:tc>
              <w:tc>
                <w:tcPr>
                  <w:tcW w:w="7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2C PACK</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1GWh/a</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0</w:t>
                  </w:r>
                </w:p>
              </w:tc>
              <w:tc>
                <w:tcPr>
                  <w:tcW w:w="3194"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本项目实施后2C PACK产线不再实施；本项目2B PACK电芯部分来自现有项目生产，部分外购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803"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7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2B PACK</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w:t>
                  </w:r>
                  <w:r>
                    <w:rPr>
                      <w:rFonts w:hint="eastAsia"/>
                      <w:sz w:val="18"/>
                      <w:szCs w:val="18"/>
                    </w:rPr>
                    <w:t>GWh/a</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w:t>
                  </w:r>
                  <w:r>
                    <w:rPr>
                      <w:rFonts w:hint="eastAsia"/>
                      <w:sz w:val="18"/>
                      <w:szCs w:val="18"/>
                    </w:rPr>
                    <w:t>GWh/a</w:t>
                  </w:r>
                </w:p>
              </w:tc>
              <w:tc>
                <w:tcPr>
                  <w:tcW w:w="3194"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1560"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储能集装箱</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w:t>
                  </w:r>
                  <w:r>
                    <w:rPr>
                      <w:rFonts w:hint="eastAsia"/>
                      <w:sz w:val="18"/>
                      <w:szCs w:val="18"/>
                    </w:rPr>
                    <w:t>GWh/a</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16</w:t>
                  </w:r>
                  <w:r>
                    <w:rPr>
                      <w:rFonts w:hint="eastAsia"/>
                      <w:sz w:val="18"/>
                      <w:szCs w:val="18"/>
                    </w:rPr>
                    <w:t>GWh/a</w:t>
                  </w:r>
                </w:p>
              </w:tc>
              <w:tc>
                <w:tcPr>
                  <w:tcW w:w="31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自产的电芯首先组装成2B PACK，然后全部用于储能集装箱组装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7872" w:type="dxa"/>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中试方案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1560"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方壳和软包电池</w:t>
                  </w:r>
                </w:p>
              </w:tc>
              <w:tc>
                <w:tcPr>
                  <w:tcW w:w="10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33.59</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MWh/a</w:t>
                  </w:r>
                </w:p>
              </w:tc>
              <w:tc>
                <w:tcPr>
                  <w:tcW w:w="8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117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33.59</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MWh/a</w:t>
                  </w:r>
                </w:p>
              </w:tc>
              <w:tc>
                <w:tcPr>
                  <w:tcW w:w="319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大部分用于拆解、测试和送检，少部分满足《电力储能用锂离子电池》（GB/T 36276-2018）外售。</w:t>
                  </w:r>
                </w:p>
              </w:tc>
            </w:tr>
          </w:tbl>
          <w:p>
            <w:pPr>
              <w:pStyle w:val="6"/>
            </w:pPr>
            <w:bookmarkStart w:id="15" w:name="_Toc10972"/>
            <w:r>
              <w:t>2.2.3项目原辅材料消耗</w:t>
            </w:r>
            <w:bookmarkEnd w:id="15"/>
          </w:p>
          <w:p>
            <w:pPr>
              <w:ind w:firstLine="0" w:firstLineChars="0"/>
              <w:jc w:val="center"/>
              <w:rPr>
                <w:b/>
                <w:bCs/>
              </w:rPr>
            </w:pPr>
            <w:r>
              <w:rPr>
                <w:b/>
                <w:bCs/>
              </w:rPr>
              <w:t>表</w:t>
            </w:r>
            <w:r>
              <w:rPr>
                <w:rFonts w:hint="eastAsia"/>
                <w:b/>
                <w:bCs/>
              </w:rPr>
              <w:t>2.</w:t>
            </w:r>
            <w:r>
              <w:rPr>
                <w:b/>
                <w:bCs/>
              </w:rPr>
              <w:t>2-</w:t>
            </w:r>
            <w:r>
              <w:rPr>
                <w:rFonts w:hint="eastAsia"/>
                <w:b/>
                <w:bCs/>
                <w:lang w:val="en-US" w:eastAsia="zh-CN"/>
              </w:rPr>
              <w:t>3</w:t>
            </w:r>
            <w:r>
              <w:rPr>
                <w:b/>
                <w:bCs/>
              </w:rPr>
              <w:t xml:space="preserve">  </w:t>
            </w:r>
            <w:r>
              <w:rPr>
                <w:rFonts w:hint="eastAsia"/>
                <w:b/>
                <w:bCs/>
                <w:lang w:val="en-US" w:eastAsia="zh-CN"/>
              </w:rPr>
              <w:t>本项目</w:t>
            </w:r>
            <w:r>
              <w:rPr>
                <w:b/>
                <w:bCs/>
              </w:rPr>
              <w:t>原辅材料及能源消耗统计表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1486"/>
              <w:gridCol w:w="580"/>
              <w:gridCol w:w="852"/>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类别</w:t>
                  </w: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名称</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单位</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年用量</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2B PACK生产</w:t>
                  </w: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外壳及附属零件</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套</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件</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4992000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来自电芯生产线或外购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酒精</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吨</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0.24</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4L/桶，用于设备擦拭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导热结构胶</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吨</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174</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180kg/桶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储能集装箱装配</w:t>
                  </w: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2B PACK</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组</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来自2B PACK生产线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集装箱本体</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套</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冷却机组</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套</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冷却液</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吨</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200kg/桶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附属零件</w:t>
                  </w:r>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套</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1000</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4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bookmarkStart w:id="16" w:name="OLE_LINK2"/>
                  <w:r>
                    <w:rPr>
                      <w:rFonts w:hint="eastAsia"/>
                      <w:sz w:val="18"/>
                      <w:szCs w:val="18"/>
                      <w:lang w:val="en-US" w:eastAsia="zh-CN"/>
                    </w:rPr>
                    <w:t>硅酮密封胶</w:t>
                  </w:r>
                  <w:bookmarkEnd w:id="16"/>
                </w:p>
              </w:tc>
              <w:tc>
                <w:tcPr>
                  <w:tcW w:w="5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吨</w:t>
                  </w:r>
                </w:p>
              </w:tc>
              <w:tc>
                <w:tcPr>
                  <w:tcW w:w="8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w:t>
                  </w:r>
                </w:p>
              </w:tc>
              <w:tc>
                <w:tcPr>
                  <w:tcW w:w="34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用于仓室之间密封</w:t>
                  </w:r>
                </w:p>
              </w:tc>
            </w:tr>
          </w:tbl>
          <w:p>
            <w:pPr>
              <w:ind w:firstLine="0" w:firstLineChars="0"/>
              <w:jc w:val="center"/>
              <w:rPr>
                <w:rFonts w:hint="default" w:eastAsia="宋体"/>
                <w:b/>
                <w:bCs/>
                <w:lang w:val="en-US" w:eastAsia="zh-CN"/>
              </w:rPr>
            </w:pPr>
            <w:r>
              <w:rPr>
                <w:b/>
                <w:bCs/>
              </w:rPr>
              <w:t>表</w:t>
            </w:r>
            <w:r>
              <w:rPr>
                <w:rFonts w:hint="eastAsia"/>
                <w:b/>
                <w:bCs/>
              </w:rPr>
              <w:t>2.</w:t>
            </w:r>
            <w:r>
              <w:rPr>
                <w:b/>
                <w:bCs/>
              </w:rPr>
              <w:t>2-</w:t>
            </w:r>
            <w:r>
              <w:rPr>
                <w:rFonts w:hint="eastAsia"/>
                <w:b/>
                <w:bCs/>
                <w:lang w:val="en-US" w:eastAsia="zh-CN"/>
              </w:rPr>
              <w:t>4</w:t>
            </w:r>
            <w:r>
              <w:rPr>
                <w:b/>
                <w:bCs/>
              </w:rPr>
              <w:t xml:space="preserve">  </w:t>
            </w:r>
            <w:r>
              <w:rPr>
                <w:rFonts w:hint="eastAsia"/>
                <w:b/>
                <w:bCs/>
                <w:lang w:val="en-US" w:eastAsia="zh-CN"/>
              </w:rPr>
              <w:t>本项目实施后全厂</w:t>
            </w:r>
            <w:r>
              <w:rPr>
                <w:b/>
                <w:bCs/>
              </w:rPr>
              <w:t>主要原辅材料及能源消耗统计表</w:t>
            </w:r>
            <w:r>
              <w:rPr>
                <w:rFonts w:hint="eastAsia"/>
                <w:b/>
                <w:bCs/>
                <w:lang w:val="en-US" w:eastAsia="zh-CN"/>
              </w:rPr>
              <w:t xml:space="preserve">    单位：t/a</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431"/>
              <w:gridCol w:w="1397"/>
              <w:gridCol w:w="1296"/>
              <w:gridCol w:w="1006"/>
              <w:gridCol w:w="963"/>
              <w:gridCol w:w="70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类别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原辅材料名称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原审批规模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rPr>
                    <w:t>本项目实施后全厂用量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变化量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厂内贮存量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磷酸铁锂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31051.48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31051.48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400kg/袋；430kg/袋，粉料，H1原料仓暂存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勃母石</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111.13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111.13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50kg/袋，粉料，H1原料仓暂存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614.08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614.08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7.5kg/包，粉料，H1原料仓暂存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粘结剂PVDF</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655.40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655.40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20kg/桶，粉料，H1原料仓暂存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17583.11（其中新加量559t本新加量包含研发中试线的新加量，其余为循环量）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17583.11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液料，NMP储罐区暂存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3621.77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3621.77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180kg/箱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负极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石墨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15820.67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15820.67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350kg/袋，粉料，H1原料仓暂存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135.35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135.35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纯水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13566.68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13566.68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自制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增稠剂CMC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196.62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196.62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20kg/包，粉料，H1原料仓暂存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粘结剂SBR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824.94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824.94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18kg/桶，粉料，H1原料仓暂存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铜箔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5632.12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5632.12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160kg/箱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注液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电解液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15814.97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15814.97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200kg/桶，1t/桶，液料，电解液仓暂存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14247721组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14247721组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15万组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1556平/箱，固体，H1原料仓暂存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铝转接片、铜转接片、化成钉、金属密封钉、塑胶密封钉、芯包保护膜、底托板、顶贴片、胶带、蓝膜等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14247721套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14247721套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15万套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模组 PACK 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2C</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PACK</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户用低压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方形铝壳电</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781328件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不再生产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195316套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高压用户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电芯B07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4687969件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390626套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PET双面胶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4296886件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2BPACK生产</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258720套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306720套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2587套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12276786件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17268786件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+4992000件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自产或外购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酒精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设备擦拭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导热结构胶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726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储能集装箱装配</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2BPACK</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65104组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113104组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+48000组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来自2BPACK生产线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集装箱本体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冷却机组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冷却液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1883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附属零件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硅酮密封胶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R410A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73.33L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-73.33L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本项目实施后集装箱自带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研发中试车间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研发中试线</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磷酸铁锂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272.36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272.36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原辅材料与电芯生产线相同，暂存量计电芯生产线。原辅材料包装规格、性状与电芯生产线相同。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勃母石</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粘结PVDF</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154.23（其中的循环NMP用量计入电芯生产线）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154.23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负极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石墨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纯水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增稠剂CMC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粘结剂SBR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铜箔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49.40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49.40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注液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电解液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铝转接片、铜转接</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片、化成钉、金属密封钉、塑胶密封钉、芯包保护膜、底托板、顶贴片、胶带、蓝膜等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实验室、污水站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酸类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PH4.0缓冲溶液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盐酸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硝酸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硫酸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磷酸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高氯酸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氢氟酸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一水柠檬酸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碱类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PH10.0缓冲溶液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氢氧化钠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盐类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邻苯二甲酸氢钾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碘化钾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硫代硫酸钠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钼酸钠二水合物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二氯化锡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甲醇钠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氯化钾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氯化钠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硝酸银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无水碳酸钠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三氯化铁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有机溶剂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卡尔费休试剂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乙醇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喹啉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丙酮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甲醇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异丙醇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碳酸二甲酯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其他试剂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PH7.00缓冲溶液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电导率标液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过氧化氢</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Fe、K、Mg、Zn等金属标准溶液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钇(Y)金属标准溶液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P\S标准溶液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重铬酸钾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单晶硅粉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污水处理药剂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氢氧化钠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43.56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43.56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阴离子PAM</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阳离子PAM</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bl>
          <w:p>
            <w:pPr>
              <w:ind w:firstLine="420"/>
              <w:rPr>
                <w:rFonts w:hint="eastAsia" w:eastAsia="宋体"/>
                <w:bCs/>
                <w:lang w:eastAsia="zh-CN"/>
              </w:rPr>
            </w:pPr>
            <w:r>
              <w:rPr>
                <w:bCs/>
              </w:rPr>
              <w:t>本项目使用的</w:t>
            </w:r>
            <w:r>
              <w:rPr>
                <w:rFonts w:hint="eastAsia"/>
                <w:bCs/>
              </w:rPr>
              <w:t>主要原辅材料物化</w:t>
            </w:r>
            <w:r>
              <w:rPr>
                <w:bCs/>
              </w:rPr>
              <w:t>性质详见表</w:t>
            </w:r>
            <w:r>
              <w:rPr>
                <w:rFonts w:hint="eastAsia"/>
                <w:bCs/>
              </w:rPr>
              <w:t>2.2-</w:t>
            </w:r>
            <w:r>
              <w:rPr>
                <w:rFonts w:hint="eastAsia"/>
                <w:bCs/>
                <w:lang w:val="en-US" w:eastAsia="zh-CN"/>
              </w:rPr>
              <w:t>5</w:t>
            </w:r>
          </w:p>
          <w:p>
            <w:pPr>
              <w:ind w:firstLine="0" w:firstLineChars="0"/>
              <w:jc w:val="center"/>
              <w:rPr>
                <w:b/>
                <w:bCs/>
                <w:sz w:val="21"/>
                <w:szCs w:val="21"/>
              </w:rPr>
            </w:pPr>
            <w:r>
              <w:rPr>
                <w:b/>
                <w:bCs/>
                <w:sz w:val="21"/>
                <w:szCs w:val="21"/>
              </w:rPr>
              <w:t>表</w:t>
            </w:r>
            <w:r>
              <w:rPr>
                <w:rFonts w:hint="eastAsia"/>
                <w:b/>
                <w:bCs/>
                <w:sz w:val="21"/>
                <w:szCs w:val="21"/>
              </w:rPr>
              <w:t>2.</w:t>
            </w:r>
            <w:r>
              <w:rPr>
                <w:b/>
                <w:bCs/>
                <w:sz w:val="21"/>
                <w:szCs w:val="21"/>
              </w:rPr>
              <w:t>2</w:t>
            </w:r>
            <w:r>
              <w:rPr>
                <w:rFonts w:hint="eastAsia"/>
                <w:b/>
                <w:bCs/>
                <w:sz w:val="21"/>
                <w:szCs w:val="21"/>
              </w:rPr>
              <w:t>-</w:t>
            </w:r>
            <w:r>
              <w:rPr>
                <w:rFonts w:hint="eastAsia"/>
                <w:b/>
                <w:bCs/>
                <w:sz w:val="21"/>
                <w:szCs w:val="21"/>
                <w:lang w:val="en-US" w:eastAsia="zh-CN"/>
              </w:rPr>
              <w:t>5</w:t>
            </w:r>
            <w:r>
              <w:rPr>
                <w:rFonts w:hint="eastAsia"/>
                <w:b/>
                <w:bCs/>
                <w:sz w:val="21"/>
                <w:szCs w:val="21"/>
              </w:rPr>
              <w:t xml:space="preserve">  主要原料理化性质</w:t>
            </w:r>
            <w:r>
              <w:rPr>
                <w:b/>
                <w:bCs/>
                <w:sz w:val="21"/>
                <w:szCs w:val="21"/>
              </w:rPr>
              <w:t>汇总表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5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9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名称</w:t>
                  </w:r>
                </w:p>
              </w:tc>
              <w:tc>
                <w:tcPr>
                  <w:tcW w:w="59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成分</w:t>
                  </w:r>
                  <w:r>
                    <w:rPr>
                      <w:rFonts w:hint="eastAsia"/>
                      <w:sz w:val="18"/>
                      <w:szCs w:val="18"/>
                    </w:rPr>
                    <w:t>及</w:t>
                  </w:r>
                  <w:r>
                    <w:rPr>
                      <w:sz w:val="18"/>
                      <w:szCs w:val="18"/>
                    </w:rPr>
                    <w:t>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导热结构胶</w:t>
                  </w:r>
                </w:p>
              </w:tc>
              <w:tc>
                <w:tcPr>
                  <w:tcW w:w="59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A 组分：聚醚多元醇（10~25%），氢氧化铝（50~80%）；白色膏状，无气味，比重 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59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B 组分：异氰酸酯（MDI，含量 10~20%），氢氧化铝（50~90%）；乳白色膏状，无气味，比重1.77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硅酮密封胶</w:t>
                  </w:r>
                </w:p>
              </w:tc>
              <w:tc>
                <w:tcPr>
                  <w:tcW w:w="59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二羟基聚二甲基硅氧烷30~55%、碳酸钙35~45%、甲基三丁酮肟基硅烷3~5%、乙烯基三丁酮肟基硅烷1~3%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冷却液</w:t>
                  </w:r>
                </w:p>
              </w:tc>
              <w:tc>
                <w:tcPr>
                  <w:tcW w:w="59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乙二醇（40~ 55%）、添加剂（癸二酸钠/苯甲酸钠、1~5%）、纯水。黄绿色液体、沸点105~109℃、比重 1.05~1.10、PH 值 7.5~11 与水可混溶</w:t>
                  </w:r>
                </w:p>
              </w:tc>
            </w:tr>
          </w:tbl>
          <w:p>
            <w:pPr>
              <w:bidi w:val="0"/>
              <w:ind w:left="0" w:leftChars="0" w:firstLine="0" w:firstLineChars="0"/>
              <w:rPr>
                <w:rFonts w:hint="eastAsia" w:eastAsia="宋体"/>
                <w:b/>
                <w:bCs/>
                <w:lang w:val="en-US" w:eastAsia="zh-CN"/>
              </w:rPr>
            </w:pPr>
            <w:r>
              <w:rPr>
                <w:rFonts w:hint="eastAsia"/>
                <w:b/>
                <w:bCs/>
              </w:rPr>
              <w:t>《胶粘剂挥发性有机化合物限量》</w:t>
            </w:r>
            <w:r>
              <w:rPr>
                <w:rFonts w:hint="eastAsia"/>
                <w:b/>
                <w:bCs/>
                <w:lang w:val="en-US" w:eastAsia="zh-CN"/>
              </w:rPr>
              <w:t>符合性分析</w:t>
            </w:r>
          </w:p>
          <w:p>
            <w:pPr>
              <w:bidi w:val="0"/>
              <w:rPr>
                <w:rFonts w:hint="eastAsia"/>
              </w:rPr>
            </w:pPr>
            <w:r>
              <w:rPr>
                <w:rFonts w:hint="eastAsia"/>
              </w:rPr>
              <w:t>导热结构胶主要用于2B</w:t>
            </w:r>
            <w:r>
              <w:rPr>
                <w:rFonts w:hint="eastAsia"/>
                <w:lang w:val="en-US" w:eastAsia="zh-CN"/>
              </w:rPr>
              <w:t xml:space="preserve"> </w:t>
            </w:r>
            <w:r>
              <w:rPr>
                <w:rFonts w:hint="eastAsia"/>
              </w:rPr>
              <w:t>PACK生产线，由于2B PACK有加热功能，由自动化涂胶机将导热结构胶的A/B两种组分混合后，均匀涂布到下壳体上，起到导热和保护电芯的功能。本项目所使用的导热结构胶属于《胶粘剂挥发性有机化合物限量》（GB 33372-2020）中的本体型胶黏剂（聚氨酯类），根据企业提供的导热结构胶测试报告，导热结构胶VOCs含量为2g/kg，VOCs含量能够满足《胶粘剂挥发性有机化合物限量》（GB33372-2020）要求（低于50g/kg）。</w:t>
            </w:r>
          </w:p>
          <w:p>
            <w:pPr>
              <w:bidi w:val="0"/>
              <w:rPr>
                <w:rFonts w:hint="eastAsia"/>
              </w:rPr>
            </w:pPr>
            <w:r>
              <w:rPr>
                <w:rFonts w:hint="eastAsia"/>
                <w:lang w:val="en-US" w:eastAsia="zh-CN"/>
              </w:rPr>
              <w:t>硅酮密封胶</w:t>
            </w:r>
            <w:r>
              <w:rPr>
                <w:rFonts w:hint="eastAsia"/>
              </w:rPr>
              <w:t>主要用于</w:t>
            </w:r>
            <w:r>
              <w:rPr>
                <w:rFonts w:hint="eastAsia"/>
                <w:lang w:val="en-US" w:eastAsia="zh-CN"/>
              </w:rPr>
              <w:t>储能集装箱装配线</w:t>
            </w:r>
            <w:r>
              <w:rPr>
                <w:rFonts w:hint="eastAsia"/>
              </w:rPr>
              <w:t>，</w:t>
            </w:r>
            <w:r>
              <w:rPr>
                <w:rFonts w:hint="eastAsia"/>
                <w:lang w:val="en-US" w:eastAsia="zh-CN"/>
              </w:rPr>
              <w:t>用于</w:t>
            </w:r>
            <w:r>
              <w:rPr>
                <w:rFonts w:hint="eastAsia"/>
              </w:rPr>
              <w:t>仓室之间的密封处理，</w:t>
            </w:r>
            <w:r>
              <w:rPr>
                <w:rFonts w:hint="eastAsia"/>
                <w:lang w:val="en-US" w:eastAsia="zh-CN"/>
              </w:rPr>
              <w:t>以及</w:t>
            </w:r>
            <w:r>
              <w:rPr>
                <w:rFonts w:hint="eastAsia"/>
              </w:rPr>
              <w:t>隔板缝隙密封。本项目所使用的</w:t>
            </w:r>
            <w:r>
              <w:rPr>
                <w:rFonts w:hint="eastAsia"/>
                <w:lang w:val="en-US" w:eastAsia="zh-CN"/>
              </w:rPr>
              <w:t>硅酮密封胶</w:t>
            </w:r>
            <w:r>
              <w:rPr>
                <w:rFonts w:hint="eastAsia"/>
              </w:rPr>
              <w:t>属于《胶粘剂挥发性有机化合物限量》（GB 33372-2020）中的本体型胶黏剂（</w:t>
            </w:r>
            <w:r>
              <w:rPr>
                <w:rFonts w:hint="eastAsia"/>
                <w:lang w:val="en-US" w:eastAsia="zh-CN"/>
              </w:rPr>
              <w:t>有机硅</w:t>
            </w:r>
            <w:r>
              <w:rPr>
                <w:rFonts w:hint="eastAsia"/>
              </w:rPr>
              <w:t>类），根据企业提供的</w:t>
            </w:r>
            <w:r>
              <w:rPr>
                <w:rFonts w:hint="eastAsia"/>
                <w:lang w:val="en-US" w:eastAsia="zh-CN"/>
              </w:rPr>
              <w:t>硅酮密封胶</w:t>
            </w:r>
            <w:r>
              <w:rPr>
                <w:rFonts w:hint="eastAsia"/>
              </w:rPr>
              <w:t>测试报告，</w:t>
            </w:r>
            <w:r>
              <w:rPr>
                <w:rFonts w:hint="eastAsia"/>
                <w:lang w:val="en-US" w:eastAsia="zh-CN"/>
              </w:rPr>
              <w:t>硅酮密封胶</w:t>
            </w:r>
            <w:r>
              <w:rPr>
                <w:rFonts w:hint="eastAsia"/>
              </w:rPr>
              <w:t>VOCs含量为</w:t>
            </w:r>
            <w:r>
              <w:rPr>
                <w:rFonts w:hint="eastAsia"/>
                <w:lang w:val="en-US" w:eastAsia="zh-CN"/>
              </w:rPr>
              <w:t>39.17</w:t>
            </w:r>
            <w:r>
              <w:rPr>
                <w:rFonts w:hint="eastAsia"/>
              </w:rPr>
              <w:t>g/kg，VOCs含量能够满足《胶粘剂挥发性有机化合物限量》（GB33372-2020）要求（低于</w:t>
            </w:r>
            <w:r>
              <w:rPr>
                <w:rFonts w:hint="eastAsia"/>
                <w:lang w:val="en-US" w:eastAsia="zh-CN"/>
              </w:rPr>
              <w:t>100</w:t>
            </w:r>
            <w:r>
              <w:rPr>
                <w:rFonts w:hint="eastAsia"/>
              </w:rPr>
              <w:t>g/kg）。</w:t>
            </w:r>
          </w:p>
          <w:p>
            <w:pPr>
              <w:bidi w:val="0"/>
              <w:ind w:left="0" w:leftChars="0" w:firstLine="0" w:firstLineChars="0"/>
              <w:rPr>
                <w:rFonts w:hint="eastAsia"/>
                <w:b/>
                <w:bCs/>
              </w:rPr>
            </w:pPr>
            <w:r>
              <w:rPr>
                <w:rFonts w:hint="eastAsia"/>
                <w:b/>
                <w:bCs/>
              </w:rPr>
              <w:t>《清洗剂挥发性有机化合物含量限值》（GB38508-2020）符合性分析</w:t>
            </w:r>
          </w:p>
          <w:p>
            <w:pPr>
              <w:bidi w:val="0"/>
              <w:rPr>
                <w:rFonts w:hint="eastAsia"/>
                <w:lang w:val="en-US" w:eastAsia="zh-CN"/>
              </w:rPr>
            </w:pPr>
            <w:r>
              <w:rPr>
                <w:rFonts w:hint="eastAsia"/>
              </w:rPr>
              <w:t>本项目设备擦拭所用的清洗剂为无水乙醇，乙醇密度为0.79g/mL，具体符合性分析见表</w:t>
            </w:r>
            <w:r>
              <w:rPr>
                <w:rFonts w:hint="eastAsia"/>
                <w:lang w:val="en-US" w:eastAsia="zh-CN"/>
              </w:rPr>
              <w:t>2.2-6。</w:t>
            </w:r>
          </w:p>
          <w:p>
            <w:pPr>
              <w:bidi w:val="0"/>
              <w:ind w:left="0" w:leftChars="0" w:firstLine="0" w:firstLineChars="0"/>
              <w:jc w:val="center"/>
              <w:rPr>
                <w:rFonts w:hint="eastAsia"/>
                <w:b/>
                <w:bCs/>
                <w:lang w:val="en-US" w:eastAsia="zh-CN"/>
              </w:rPr>
            </w:pPr>
            <w:r>
              <w:rPr>
                <w:rFonts w:hint="eastAsia"/>
                <w:b/>
                <w:bCs/>
                <w:lang w:val="en-US" w:eastAsia="zh-CN"/>
              </w:rPr>
              <w:t>表2.2-6  清洗剂 VOC 含量限量</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4698"/>
              <w:gridCol w:w="847"/>
              <w:gridCol w:w="645"/>
              <w:gridCol w:w="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材料类型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项目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限量值</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含量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清洗剂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VOC 含量/（g/L）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790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二氯甲烷、三氯甲烷、三氯乙烯、四氯乙烯总和/%</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苯、甲苯、乙苯和二甲苯总和/%</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符合</w:t>
                  </w:r>
                </w:p>
              </w:tc>
            </w:tr>
          </w:tbl>
          <w:p>
            <w:pPr>
              <w:bidi w:val="0"/>
              <w:rPr>
                <w:rFonts w:hint="default"/>
                <w:lang w:val="en-US" w:eastAsia="zh-CN"/>
              </w:rPr>
            </w:pPr>
            <w:r>
              <w:rPr>
                <w:rFonts w:hint="default"/>
                <w:lang w:val="en-US" w:eastAsia="zh-CN"/>
              </w:rPr>
              <w:t>根据上述分析，本项目使用乙醇做为清洗剂符合《清洗剂挥发性有机化合物含量限值》（GB38508-2020）的要求。</w:t>
            </w:r>
          </w:p>
          <w:p>
            <w:pPr>
              <w:pStyle w:val="6"/>
            </w:pPr>
            <w:r>
              <w:t>2.2.4项目主要设备</w:t>
            </w:r>
          </w:p>
          <w:p>
            <w:pPr>
              <w:ind w:firstLine="420"/>
              <w:rPr>
                <w:rFonts w:hint="default"/>
                <w:bCs/>
                <w:lang w:val="en-US" w:eastAsia="zh-CN"/>
              </w:rPr>
            </w:pPr>
            <w:r>
              <w:rPr>
                <w:rFonts w:hint="eastAsia"/>
                <w:bCs/>
                <w:lang w:val="en-US" w:eastAsia="zh-CN"/>
              </w:rPr>
              <w:t>本项目新增一条大储线（4线）以及一条集装箱线（7线）</w:t>
            </w:r>
            <w:r>
              <w:rPr>
                <w:bCs/>
              </w:rPr>
              <w:t>，</w:t>
            </w:r>
            <w:r>
              <w:rPr>
                <w:rFonts w:hint="eastAsia"/>
                <w:bCs/>
                <w:lang w:val="en-US" w:eastAsia="zh-CN"/>
              </w:rPr>
              <w:t>新增的设备见表2.2-7，现有项目设备见表2.4-5。</w:t>
            </w:r>
          </w:p>
          <w:p>
            <w:pPr>
              <w:ind w:firstLine="0" w:firstLineChars="0"/>
              <w:jc w:val="center"/>
              <w:rPr>
                <w:rFonts w:hint="default" w:eastAsia="宋体"/>
                <w:bCs/>
                <w:szCs w:val="21"/>
                <w:lang w:val="en-US" w:eastAsia="zh-CN"/>
              </w:rPr>
            </w:pPr>
            <w:r>
              <w:rPr>
                <w:rFonts w:hint="eastAsia"/>
                <w:b/>
                <w:bCs/>
                <w:sz w:val="21"/>
                <w:szCs w:val="21"/>
              </w:rPr>
              <w:t>表2.2-</w:t>
            </w:r>
            <w:r>
              <w:rPr>
                <w:rFonts w:hint="eastAsia"/>
                <w:b/>
                <w:bCs/>
                <w:sz w:val="21"/>
                <w:szCs w:val="21"/>
                <w:lang w:val="en-US" w:eastAsia="zh-CN"/>
              </w:rPr>
              <w:t>7  本项目新增</w:t>
            </w:r>
            <w:r>
              <w:rPr>
                <w:rFonts w:hint="eastAsia"/>
                <w:b/>
                <w:bCs/>
                <w:sz w:val="21"/>
                <w:szCs w:val="21"/>
              </w:rPr>
              <w:t>设备清单</w:t>
            </w:r>
            <w:r>
              <w:rPr>
                <w:rFonts w:hint="eastAsia"/>
                <w:b/>
                <w:bCs/>
                <w:sz w:val="21"/>
                <w:szCs w:val="21"/>
                <w:lang w:val="en-US" w:eastAsia="zh-CN"/>
              </w:rPr>
              <w:t xml:space="preserve">    单位：台/套</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089"/>
              <w:gridCol w:w="2841"/>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主要生产单元</w:t>
                  </w: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设备名称</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本项目新增数量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大储线（4线）</w:t>
                  </w: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电芯上线、输送设备</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电芯分选</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电芯清洁</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板绝缘片粘贴&amp;绝缘片粘贴检测设备</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电芯贴胶</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模组预堆叠、模组转序设备</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模组成型、输送、测试系统</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极柱寻址，激光清洗、汇流排安装系统</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汇流排焊接</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汇流排焊后清洁</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焊后检测</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下壳体上线清洁</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下壳体涂胶</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模组组装、模组入箱、壳体、上盖安装设施</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测试</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1"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AGV物流运输系统</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集装箱线（7线）</w:t>
                  </w:r>
                </w:p>
              </w:tc>
              <w:tc>
                <w:tcPr>
                  <w:tcW w:w="108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组装线</w:t>
                  </w: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工装小车</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08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集装箱装配叉车</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08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激光打标机</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08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制冷液真空加注</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089"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充放电设备</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2"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1089"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测试</w:t>
                  </w:r>
                </w:p>
              </w:tc>
              <w:tc>
                <w:tcPr>
                  <w:tcW w:w="284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集装箱测试系统</w:t>
                  </w:r>
                </w:p>
              </w:tc>
              <w:tc>
                <w:tcPr>
                  <w:tcW w:w="23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w:t>
                  </w:r>
                </w:p>
              </w:tc>
            </w:tr>
          </w:tbl>
          <w:p>
            <w:pPr>
              <w:pStyle w:val="6"/>
            </w:pPr>
            <w:r>
              <w:rPr>
                <w:rFonts w:hint="eastAsia"/>
              </w:rPr>
              <w:t>2.2.</w:t>
            </w:r>
            <w:r>
              <w:rPr>
                <w:rFonts w:hint="eastAsia"/>
                <w:lang w:val="en-US" w:eastAsia="zh-CN"/>
              </w:rPr>
              <w:t>5</w:t>
            </w:r>
            <w:r>
              <w:rPr>
                <w:rFonts w:hint="eastAsia"/>
              </w:rPr>
              <w:t>项目水平衡分析</w:t>
            </w:r>
          </w:p>
          <w:p>
            <w:pPr>
              <w:spacing w:line="240" w:lineRule="auto"/>
              <w:ind w:firstLine="0" w:firstLineChars="0"/>
              <w:jc w:val="center"/>
              <w:rPr>
                <w:rFonts w:hint="eastAsia"/>
                <w:b/>
                <w:bCs/>
              </w:rPr>
            </w:pPr>
            <w:r>
              <w:object>
                <v:shape id="_x0000_i1025" o:spt="75" type="#_x0000_t75" style="height:560.45pt;width:399.4pt;" o:ole="t" filled="f" o:preferrelative="t" stroked="t" coordsize="21600,21600">
                  <v:path/>
                  <v:fill on="f" focussize="0,0"/>
                  <v:stroke weight="1pt" color="#000000" joinstyle="miter"/>
                  <v:imagedata r:id="rId13" o:title=""/>
                  <o:lock v:ext="edit" aspectratio="f"/>
                  <w10:wrap type="none"/>
                  <w10:anchorlock/>
                </v:shape>
                <o:OLEObject Type="Embed" ProgID="Visio.Drawing.15" ShapeID="_x0000_i1025" DrawAspect="Content" ObjectID="_1468075725" r:id="rId12">
                  <o:LockedField>false</o:LockedField>
                </o:OLEObject>
              </w:object>
            </w:r>
            <w:r>
              <w:rPr>
                <w:rFonts w:hint="eastAsia"/>
                <w:b/>
                <w:bCs/>
              </w:rPr>
              <w:t>图2.2-1</w:t>
            </w:r>
            <w:r>
              <w:rPr>
                <w:rFonts w:hint="eastAsia"/>
                <w:b/>
                <w:bCs/>
                <w:lang w:val="en-US" w:eastAsia="zh-CN"/>
              </w:rPr>
              <w:t xml:space="preserve">  本</w:t>
            </w:r>
            <w:r>
              <w:rPr>
                <w:rFonts w:hint="eastAsia"/>
                <w:b/>
                <w:bCs/>
              </w:rPr>
              <w:t>项目</w:t>
            </w:r>
            <w:r>
              <w:rPr>
                <w:rFonts w:hint="eastAsia"/>
                <w:b/>
                <w:bCs/>
                <w:lang w:val="en-US" w:eastAsia="zh-CN"/>
              </w:rPr>
              <w:t>实施后全厂</w:t>
            </w:r>
            <w:r>
              <w:rPr>
                <w:rFonts w:hint="eastAsia"/>
                <w:b/>
                <w:bCs/>
              </w:rPr>
              <w:t>水平衡图</w:t>
            </w:r>
          </w:p>
          <w:p>
            <w:pPr>
              <w:pStyle w:val="2"/>
            </w:pPr>
          </w:p>
          <w:p>
            <w:pPr>
              <w:pStyle w:val="6"/>
            </w:pPr>
            <w:r>
              <w:t>2.2.</w:t>
            </w:r>
            <w:r>
              <w:rPr>
                <w:rFonts w:hint="eastAsia"/>
                <w:lang w:val="en-US" w:eastAsia="zh-CN"/>
              </w:rPr>
              <w:t>6</w:t>
            </w:r>
            <w:r>
              <w:t>项目劳动定员和工作制度</w:t>
            </w:r>
          </w:p>
          <w:p>
            <w:pPr>
              <w:ind w:firstLine="420"/>
            </w:pPr>
            <w:r>
              <w:rPr>
                <w:rFonts w:hint="eastAsia"/>
              </w:rPr>
              <w:t>本项目新增员工</w:t>
            </w:r>
            <w:r>
              <w:rPr>
                <w:rFonts w:hint="eastAsia"/>
                <w:lang w:val="en-US" w:eastAsia="zh-CN"/>
              </w:rPr>
              <w:t>160人</w:t>
            </w:r>
            <w:r>
              <w:rPr>
                <w:rFonts w:hint="eastAsia"/>
              </w:rPr>
              <w:t>，实行</w:t>
            </w:r>
            <w:r>
              <w:rPr>
                <w:rFonts w:hint="eastAsia"/>
                <w:lang w:val="en-US" w:eastAsia="zh-CN"/>
              </w:rPr>
              <w:t>双</w:t>
            </w:r>
            <w:r>
              <w:rPr>
                <w:rFonts w:hint="eastAsia"/>
              </w:rPr>
              <w:t>班制生产</w:t>
            </w:r>
            <w:r>
              <w:rPr>
                <w:rFonts w:hint="eastAsia"/>
                <w:lang w:eastAsia="zh-CN"/>
              </w:rPr>
              <w:t>（</w:t>
            </w:r>
            <w:r>
              <w:rPr>
                <w:rFonts w:hint="eastAsia"/>
                <w:lang w:val="en-US" w:eastAsia="zh-CN"/>
              </w:rPr>
              <w:t>每班11小时）</w:t>
            </w:r>
            <w:r>
              <w:rPr>
                <w:rFonts w:hint="eastAsia"/>
              </w:rPr>
              <w:t>，全年工作3</w:t>
            </w:r>
            <w:r>
              <w:rPr>
                <w:rFonts w:hint="eastAsia"/>
                <w:lang w:val="en-US" w:eastAsia="zh-CN"/>
              </w:rPr>
              <w:t>3</w:t>
            </w:r>
            <w:r>
              <w:rPr>
                <w:rFonts w:hint="eastAsia"/>
              </w:rPr>
              <w:t>0天，厂区内设立食堂。</w:t>
            </w:r>
          </w:p>
          <w:p>
            <w:pPr>
              <w:pStyle w:val="6"/>
            </w:pPr>
            <w:r>
              <w:rPr>
                <w:rFonts w:hint="eastAsia"/>
              </w:rPr>
              <w:t>2.2.</w:t>
            </w:r>
            <w:r>
              <w:rPr>
                <w:rFonts w:hint="eastAsia"/>
                <w:lang w:val="en-US" w:eastAsia="zh-CN"/>
              </w:rPr>
              <w:t>7</w:t>
            </w:r>
            <w:r>
              <w:t>项目选址及平面布置</w:t>
            </w:r>
          </w:p>
          <w:p>
            <w:pPr>
              <w:spacing w:line="460" w:lineRule="exact"/>
              <w:ind w:firstLine="420" w:firstLineChars="200"/>
              <w:jc w:val="left"/>
              <w:rPr>
                <w:rFonts w:hint="eastAsia"/>
              </w:rPr>
            </w:pPr>
            <w:r>
              <w:rPr>
                <w:rFonts w:hint="eastAsia"/>
              </w:rPr>
              <w:t>厂区为倒梯形，生活区位于厂区东南角，其他区域为生产区。</w:t>
            </w:r>
          </w:p>
          <w:p>
            <w:pPr>
              <w:spacing w:line="460" w:lineRule="exact"/>
              <w:ind w:firstLine="420" w:firstLineChars="200"/>
              <w:jc w:val="left"/>
              <w:rPr>
                <w:rStyle w:val="19"/>
                <w:szCs w:val="20"/>
              </w:rPr>
            </w:pPr>
            <w:r>
              <w:rPr>
                <w:rFonts w:hint="eastAsia"/>
              </w:rPr>
              <w:t>厂区北侧布置有变电站、固废和危废仓库、电解液仓、NMP储罐及精馏回收区、污水处理站。厂区中部布置有储能电芯厂房、模组装配厂房及成品仓、动力站。厂区南部布置系统组装厂房和中试车间、停车场等。厂区共设置3个出入口，其中办公出入口位于东南侧，物流出入口在新月路和厂区西南侧各1个。</w:t>
            </w:r>
            <w:r>
              <w:rPr>
                <w:rFonts w:hint="eastAsia"/>
                <w:lang w:val="en-US" w:eastAsia="zh-CN"/>
              </w:rPr>
              <w:t>本项目2B PACK组装位于M2模组厂房，储能集装箱组装位于C1系统厂房。</w:t>
            </w:r>
            <w:r>
              <w:rPr>
                <w:rFonts w:hint="eastAsia"/>
              </w:rPr>
              <w:t>具体车间平面布置详见附图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94" w:type="dxa"/>
            <w:vAlign w:val="center"/>
          </w:tcPr>
          <w:p>
            <w:pPr>
              <w:ind w:firstLine="0" w:firstLineChars="0"/>
              <w:jc w:val="center"/>
            </w:pPr>
            <w:r>
              <w:rPr>
                <w:rFonts w:hint="eastAsia"/>
              </w:rPr>
              <w:t>工艺流程和排污环节</w:t>
            </w:r>
          </w:p>
        </w:tc>
        <w:tc>
          <w:tcPr>
            <w:tcW w:w="7928" w:type="dxa"/>
            <w:vAlign w:val="center"/>
          </w:tcPr>
          <w:p>
            <w:pPr>
              <w:pStyle w:val="6"/>
            </w:pPr>
            <w:r>
              <w:t>2.3.1工艺流程和产排污环节</w:t>
            </w:r>
          </w:p>
          <w:p>
            <w:pPr>
              <w:ind w:firstLine="420"/>
            </w:pPr>
            <w:r>
              <w:rPr>
                <w:rFonts w:hint="eastAsia"/>
              </w:rPr>
              <w:t>本项目新增2条生产线，大储线（4线）包括模组工段和PACK工段，模组工段主要是将单体电芯组装为电池模组，PACK工段主要是将电池模组打包安装为成品；集装箱线（7线）主要是将大储线（4线）2B PACK成品与外购各类零部件进行组装</w:t>
            </w:r>
            <w:r>
              <w:rPr>
                <w:rFonts w:hint="eastAsia"/>
                <w:lang w:eastAsia="zh-CN"/>
              </w:rPr>
              <w:t>。</w:t>
            </w:r>
            <w:r>
              <w:rPr>
                <w:rFonts w:hint="eastAsia"/>
                <w:lang w:val="en-US" w:eastAsia="zh-CN"/>
              </w:rPr>
              <w:t>与现有项目相比部分环节进行了优化，取消了等离子清洗，PCS组装；新增模组通讯测试等检测环节，</w:t>
            </w:r>
            <w:r>
              <w:rPr>
                <w:rFonts w:hint="eastAsia"/>
              </w:rPr>
              <w:t>具体生产工艺流程如下：</w:t>
            </w:r>
          </w:p>
          <w:p>
            <w:pPr>
              <w:ind w:firstLine="420" w:firstLineChars="0"/>
              <w:rPr>
                <w:rFonts w:hint="eastAsia" w:eastAsia="宋体"/>
                <w:b/>
                <w:bCs/>
                <w:lang w:val="en-US" w:eastAsia="zh-CN"/>
              </w:rPr>
            </w:pPr>
            <w:r>
              <w:rPr>
                <w:rFonts w:hint="eastAsia"/>
                <w:b/>
                <w:bCs/>
                <w:lang w:val="en-US" w:eastAsia="zh-CN"/>
              </w:rPr>
              <w:t>1、大储线（4线）模组工段生产工艺流程图</w:t>
            </w:r>
          </w:p>
          <w:p>
            <w:pPr>
              <w:spacing w:line="240" w:lineRule="auto"/>
              <w:ind w:firstLine="0" w:firstLineChars="0"/>
              <w:jc w:val="center"/>
              <w:rPr>
                <w:b/>
                <w:bCs/>
              </w:rPr>
            </w:pPr>
            <w:r>
              <w:rPr>
                <w:b/>
                <w:bCs/>
              </w:rPr>
              <w:object>
                <v:shape id="_x0000_i1026" o:spt="75" type="#_x0000_t75" style="height:635.25pt;width:357.75pt;" o:ole="t" filled="f" o:preferrelative="t" stroked="t" coordsize="21600,21600">
                  <v:path/>
                  <v:fill on="f" focussize="0,0"/>
                  <v:stroke color="#000000"/>
                  <v:imagedata r:id="rId15" o:title=""/>
                  <o:lock v:ext="edit" aspectratio="f"/>
                  <w10:wrap type="none"/>
                  <w10:anchorlock/>
                </v:shape>
                <o:OLEObject Type="Embed" ProgID="Visio.Drawing.15" ShapeID="_x0000_i1026" DrawAspect="Content" ObjectID="_1468075726" r:id="rId14">
                  <o:LockedField>false</o:LockedField>
                </o:OLEObject>
              </w:object>
            </w:r>
          </w:p>
          <w:p>
            <w:pPr>
              <w:ind w:firstLine="0" w:firstLineChars="0"/>
              <w:jc w:val="center"/>
              <w:rPr>
                <w:b/>
                <w:bCs/>
              </w:rPr>
            </w:pPr>
            <w:r>
              <w:rPr>
                <w:rFonts w:hint="eastAsia"/>
                <w:b/>
                <w:bCs/>
              </w:rPr>
              <w:t>图2.3-1</w:t>
            </w:r>
            <w:r>
              <w:rPr>
                <w:rFonts w:hint="eastAsia"/>
                <w:b/>
                <w:bCs/>
                <w:lang w:val="en-US" w:eastAsia="zh-CN"/>
              </w:rPr>
              <w:t xml:space="preserve">  模组工段</w:t>
            </w:r>
            <w:r>
              <w:rPr>
                <w:rFonts w:hint="eastAsia"/>
                <w:b/>
                <w:bCs/>
              </w:rPr>
              <w:t>生产工艺及产污环节流程图</w:t>
            </w:r>
          </w:p>
          <w:p>
            <w:pPr>
              <w:ind w:firstLine="420"/>
              <w:rPr>
                <w:rFonts w:hint="eastAsia"/>
                <w:b/>
                <w:bCs/>
              </w:rPr>
            </w:pPr>
          </w:p>
          <w:p>
            <w:pPr>
              <w:ind w:firstLine="420"/>
              <w:rPr>
                <w:rFonts w:hint="eastAsia"/>
                <w:b/>
                <w:bCs/>
              </w:rPr>
            </w:pPr>
            <w:r>
              <w:rPr>
                <w:rFonts w:hint="eastAsia"/>
                <w:b/>
                <w:bCs/>
              </w:rPr>
              <w:t>生产工艺流程说明如下：</w:t>
            </w:r>
          </w:p>
          <w:p>
            <w:pPr>
              <w:ind w:firstLine="420"/>
              <w:rPr>
                <w:rFonts w:hint="eastAsia"/>
              </w:rPr>
            </w:pPr>
            <w:r>
              <w:rPr>
                <w:rFonts w:hint="eastAsia"/>
              </w:rPr>
              <w:t>（1）电芯上料：AGV小车将整垛电芯配送至上料机械手处，机械手抓取电芯放置到电芯测试机台。</w:t>
            </w:r>
          </w:p>
          <w:p>
            <w:pPr>
              <w:ind w:firstLine="420"/>
              <w:rPr>
                <w:rFonts w:hint="eastAsia"/>
              </w:rPr>
            </w:pPr>
            <w:r>
              <w:rPr>
                <w:rFonts w:hint="eastAsia"/>
              </w:rPr>
              <w:t>（2）电芯分选：电芯测试机台上的电芯通过平移传输，将电芯传送至测试工位，进行电压和内阻测试，然后搬运机器人将测试合格的电芯搬运至电芯贴胶机台。此工序产生S</w:t>
            </w:r>
            <w:r>
              <w:rPr>
                <w:rFonts w:hint="eastAsia"/>
                <w:lang w:val="en-US" w:eastAsia="zh-CN"/>
              </w:rPr>
              <w:t>1</w:t>
            </w:r>
            <w:r>
              <w:rPr>
                <w:rFonts w:hint="eastAsia"/>
              </w:rPr>
              <w:t>-1不合格电芯。</w:t>
            </w:r>
          </w:p>
          <w:p>
            <w:pPr>
              <w:ind w:firstLine="420"/>
              <w:rPr>
                <w:rFonts w:hint="eastAsia"/>
              </w:rPr>
            </w:pPr>
            <w:r>
              <w:rPr>
                <w:rFonts w:hint="eastAsia"/>
              </w:rPr>
              <w:t>（3）电芯贴胶：搬运过来的电芯通过平移传输，将电芯传送至自动贴胶工位进行贴双面胶，贴胶完工后，再传输至出料平台，等待堆叠机器人抓取。此工序产生S</w:t>
            </w:r>
            <w:r>
              <w:rPr>
                <w:rFonts w:hint="eastAsia"/>
                <w:lang w:val="en-US" w:eastAsia="zh-CN"/>
              </w:rPr>
              <w:t>1</w:t>
            </w:r>
            <w:r>
              <w:rPr>
                <w:rFonts w:hint="eastAsia"/>
              </w:rPr>
              <w:t>-2废胶纸。</w:t>
            </w:r>
          </w:p>
          <w:p>
            <w:pPr>
              <w:ind w:firstLine="420"/>
              <w:rPr>
                <w:rFonts w:hint="eastAsia"/>
              </w:rPr>
            </w:pPr>
            <w:r>
              <w:rPr>
                <w:rFonts w:hint="eastAsia"/>
              </w:rPr>
              <w:t>（4）模组预堆叠：堆叠机器人依次抓取电芯完成模组预堆叠。</w:t>
            </w:r>
          </w:p>
          <w:p>
            <w:pPr>
              <w:ind w:firstLine="420"/>
              <w:rPr>
                <w:rFonts w:hint="eastAsia"/>
              </w:rPr>
            </w:pPr>
            <w:r>
              <w:rPr>
                <w:rFonts w:hint="eastAsia"/>
              </w:rPr>
              <w:t>（5）端板处理：端板经人工检查没有问题后，贴端板绝缘片。</w:t>
            </w:r>
          </w:p>
          <w:p>
            <w:pPr>
              <w:ind w:firstLine="420"/>
              <w:rPr>
                <w:rFonts w:hint="eastAsia"/>
              </w:rPr>
            </w:pPr>
            <w:r>
              <w:rPr>
                <w:rFonts w:hint="eastAsia"/>
              </w:rPr>
              <w:t>（6）模组成型：将分装好的端板组装到模组上。</w:t>
            </w:r>
          </w:p>
          <w:p>
            <w:pPr>
              <w:ind w:firstLine="420"/>
              <w:rPr>
                <w:rFonts w:hint="eastAsia"/>
              </w:rPr>
            </w:pPr>
            <w:r>
              <w:rPr>
                <w:rFonts w:hint="eastAsia"/>
              </w:rPr>
              <w:t>（7）电芯间电性能测试：对模组进行电芯间电性能测试，产生的不合格模组直接下线，集中返工处理。</w:t>
            </w:r>
          </w:p>
          <w:p>
            <w:pPr>
              <w:ind w:firstLine="420"/>
              <w:rPr>
                <w:rFonts w:hint="eastAsia"/>
              </w:rPr>
            </w:pPr>
            <w:r>
              <w:rPr>
                <w:rFonts w:hint="eastAsia"/>
              </w:rPr>
              <w:t>（8）极柱寻址、清洁：模组流入电芯极柱拍照工位，进行电芯定位、绑定以及极柱极性检测，极柱拍照完成后，流入极柱清洁工位，进行极柱表面激光清洗，激光清洗是通过光学系统对激光光束进行聚焦和整形获得高能量的激光束，并使之照射到待清洗的部位，利用激光去除清洗工件表面附着物的过程。清洗时，激光束被待清洗物体表面上的物质吸收，通过光作用或热作用破坏污染物和基底之间的结合键，以光剥离、气化、烧蚀等作用过程，使污染物脱离物体表面，达到清洁的目的，而待清洗物并不受损伤或损伤程度在可以接受的较低范围内。此工序产生G</w:t>
            </w:r>
            <w:r>
              <w:rPr>
                <w:rFonts w:hint="eastAsia"/>
                <w:lang w:val="en-US" w:eastAsia="zh-CN"/>
              </w:rPr>
              <w:t>1</w:t>
            </w:r>
            <w:r>
              <w:rPr>
                <w:rFonts w:hint="eastAsia"/>
              </w:rPr>
              <w:t>-</w:t>
            </w:r>
            <w:r>
              <w:rPr>
                <w:rFonts w:hint="eastAsia"/>
                <w:lang w:val="en-US" w:eastAsia="zh-CN"/>
              </w:rPr>
              <w:t>1</w:t>
            </w:r>
            <w:r>
              <w:rPr>
                <w:rFonts w:hint="eastAsia"/>
              </w:rPr>
              <w:t>激光清洁废气</w:t>
            </w:r>
            <w:r>
              <w:rPr>
                <w:rFonts w:hint="eastAsia"/>
                <w:lang w:eastAsia="zh-CN"/>
              </w:rPr>
              <w:t>。</w:t>
            </w:r>
          </w:p>
          <w:p>
            <w:pPr>
              <w:ind w:firstLine="420"/>
              <w:rPr>
                <w:rFonts w:hint="eastAsia" w:eastAsia="宋体"/>
                <w:lang w:val="en-US" w:eastAsia="zh-CN"/>
              </w:rPr>
            </w:pPr>
            <w:r>
              <w:rPr>
                <w:rFonts w:hint="eastAsia"/>
              </w:rPr>
              <w:t>（9）</w:t>
            </w:r>
            <w:r>
              <w:rPr>
                <w:rFonts w:hint="eastAsia"/>
                <w:lang w:val="en-US" w:eastAsia="zh-CN"/>
              </w:rPr>
              <w:t>汇流排总成安装、</w:t>
            </w:r>
            <w:r>
              <w:rPr>
                <w:rFonts w:hint="eastAsia"/>
              </w:rPr>
              <w:t>激光焊接、焊后清洁：极柱清洁完成后，极柱上放置铝制汇流排，然后进入激光焊接工位，由自动激光焊接设备进行铝排的焊接，激光焊接技术属于熔融焊接，以激光束为能源，使其冲击在焊件接头上，使焊件材料熔融后粘固为一体以达到焊接目的。焊接完成后采用吸尘器清洁焊接表面残留的焊渣。此工序产生G</w:t>
            </w:r>
            <w:r>
              <w:rPr>
                <w:rFonts w:hint="eastAsia"/>
                <w:lang w:val="en-US" w:eastAsia="zh-CN"/>
              </w:rPr>
              <w:t>1</w:t>
            </w:r>
            <w:r>
              <w:rPr>
                <w:rFonts w:hint="eastAsia"/>
              </w:rPr>
              <w:t>-</w:t>
            </w:r>
            <w:r>
              <w:rPr>
                <w:rFonts w:hint="eastAsia"/>
                <w:lang w:val="en-US" w:eastAsia="zh-CN"/>
              </w:rPr>
              <w:t>2</w:t>
            </w:r>
            <w:r>
              <w:rPr>
                <w:rFonts w:hint="eastAsia"/>
              </w:rPr>
              <w:t>激光焊接废气</w:t>
            </w:r>
            <w:r>
              <w:rPr>
                <w:rFonts w:hint="eastAsia"/>
                <w:lang w:eastAsia="zh-CN"/>
              </w:rPr>
              <w:t>。</w:t>
            </w:r>
          </w:p>
          <w:p>
            <w:pPr>
              <w:ind w:firstLine="420"/>
              <w:rPr>
                <w:rFonts w:hint="eastAsia"/>
              </w:rPr>
            </w:pPr>
            <w:r>
              <w:rPr>
                <w:rFonts w:hint="eastAsia"/>
              </w:rPr>
              <w:t>（10）检测、测试：焊接完成后采用1级相机检测、2级人工检查焊接点强度，不合格的工件返回激光焊接工序利用自动激光焊接设备再次进行焊接，合格的工件进行绝缘和耐压测试。</w:t>
            </w:r>
          </w:p>
          <w:p>
            <w:pPr>
              <w:ind w:firstLine="420"/>
              <w:rPr>
                <w:rFonts w:hint="eastAsia"/>
              </w:rPr>
            </w:pPr>
            <w:r>
              <w:rPr>
                <w:rFonts w:hint="eastAsia"/>
              </w:rPr>
              <w:t>（11）模组附件安装：由人工铺设隔离片、安装倒钩型螺钉。</w:t>
            </w:r>
          </w:p>
          <w:p>
            <w:pPr>
              <w:ind w:firstLine="420"/>
              <w:rPr>
                <w:rFonts w:hint="eastAsia"/>
              </w:rPr>
            </w:pPr>
            <w:r>
              <w:rPr>
                <w:rFonts w:hint="eastAsia"/>
                <w:lang w:eastAsia="zh-CN"/>
              </w:rPr>
              <w:t>（</w:t>
            </w:r>
            <w:r>
              <w:rPr>
                <w:rFonts w:hint="eastAsia"/>
                <w:lang w:val="en-US" w:eastAsia="zh-CN"/>
              </w:rPr>
              <w:t>12</w:t>
            </w:r>
            <w:r>
              <w:rPr>
                <w:rFonts w:hint="eastAsia"/>
                <w:lang w:eastAsia="zh-CN"/>
              </w:rPr>
              <w:t>）</w:t>
            </w:r>
            <w:r>
              <w:rPr>
                <w:rFonts w:hint="eastAsia"/>
              </w:rPr>
              <w:t>通讯测试、模组下线、缓存：对模组进行模组通讯测试，看电芯电压是否正常，经检验合格后的模组下线缓存。</w:t>
            </w:r>
          </w:p>
          <w:p>
            <w:pPr>
              <w:bidi w:val="0"/>
              <w:rPr>
                <w:rFonts w:hint="eastAsia"/>
                <w:b/>
                <w:bCs/>
                <w:lang w:val="en-US" w:eastAsia="zh-CN"/>
              </w:rPr>
            </w:pPr>
            <w:r>
              <w:rPr>
                <w:rFonts w:hint="eastAsia"/>
                <w:b/>
                <w:bCs/>
                <w:lang w:val="en-US" w:eastAsia="zh-CN"/>
              </w:rPr>
              <w:t>2、大储线（4线）PACK工段生产工艺</w:t>
            </w:r>
          </w:p>
          <w:p>
            <w:pPr>
              <w:bidi w:val="0"/>
              <w:spacing w:line="240" w:lineRule="auto"/>
              <w:ind w:left="0" w:leftChars="0" w:firstLine="0" w:firstLineChars="0"/>
              <w:jc w:val="center"/>
              <w:rPr>
                <w:rFonts w:hint="eastAsia"/>
                <w:lang w:val="en-US" w:eastAsia="zh-CN"/>
              </w:rPr>
            </w:pPr>
            <w:r>
              <w:rPr>
                <w:rFonts w:hint="eastAsia"/>
                <w:lang w:val="en-US" w:eastAsia="zh-CN"/>
              </w:rPr>
              <w:object>
                <v:shape id="_x0000_i1027" o:spt="75" type="#_x0000_t75" style="height:598.5pt;width:268.5pt;" o:ole="t" filled="f" o:preferrelative="t" stroked="t" coordsize="21600,21600">
                  <v:path/>
                  <v:fill on="f" focussize="0,0"/>
                  <v:stroke color="#000000" joinstyle="miter"/>
                  <v:imagedata r:id="rId17" o:title=""/>
                  <o:lock v:ext="edit" aspectratio="f"/>
                  <w10:wrap type="none"/>
                  <w10:anchorlock/>
                </v:shape>
                <o:OLEObject Type="Embed" ProgID="Visio.Drawing.15" ShapeID="_x0000_i1027" DrawAspect="Content" ObjectID="_1468075727" r:id="rId16">
                  <o:LockedField>false</o:LockedField>
                </o:OLEObject>
              </w:object>
            </w:r>
          </w:p>
          <w:p>
            <w:pPr>
              <w:ind w:firstLine="0" w:firstLineChars="0"/>
              <w:jc w:val="center"/>
              <w:rPr>
                <w:b/>
                <w:bCs/>
              </w:rPr>
            </w:pPr>
            <w:r>
              <w:rPr>
                <w:rFonts w:hint="eastAsia"/>
                <w:b/>
                <w:bCs/>
              </w:rPr>
              <w:t>图2.3-</w:t>
            </w:r>
            <w:r>
              <w:rPr>
                <w:rFonts w:hint="eastAsia"/>
                <w:b/>
                <w:bCs/>
                <w:lang w:val="en-US" w:eastAsia="zh-CN"/>
              </w:rPr>
              <w:t>2  PACK工段</w:t>
            </w:r>
            <w:r>
              <w:rPr>
                <w:rFonts w:hint="eastAsia"/>
                <w:b/>
                <w:bCs/>
              </w:rPr>
              <w:t>生产工艺及产污环节流程图</w:t>
            </w:r>
          </w:p>
          <w:p>
            <w:pPr>
              <w:bidi w:val="0"/>
              <w:rPr>
                <w:rFonts w:hint="eastAsia"/>
                <w:b/>
                <w:bCs/>
                <w:lang w:val="en-US" w:eastAsia="zh-CN"/>
              </w:rPr>
            </w:pPr>
            <w:r>
              <w:rPr>
                <w:rFonts w:hint="eastAsia"/>
                <w:b/>
                <w:bCs/>
                <w:lang w:val="en-US" w:eastAsia="zh-CN"/>
              </w:rPr>
              <w:t>生产工艺流程说明如下：</w:t>
            </w:r>
          </w:p>
          <w:p>
            <w:pPr>
              <w:bidi w:val="0"/>
              <w:rPr>
                <w:rFonts w:hint="eastAsia"/>
                <w:lang w:val="en-US" w:eastAsia="zh-CN"/>
              </w:rPr>
            </w:pPr>
            <w:r>
              <w:rPr>
                <w:rFonts w:hint="eastAsia"/>
                <w:lang w:val="en-US" w:eastAsia="zh-CN"/>
              </w:rPr>
              <w:t>（1）集成面板分装：由人工对集成面板进行分装。</w:t>
            </w:r>
          </w:p>
          <w:p>
            <w:pPr>
              <w:bidi w:val="0"/>
              <w:rPr>
                <w:rFonts w:hint="eastAsia"/>
                <w:lang w:val="en-US" w:eastAsia="zh-CN"/>
              </w:rPr>
            </w:pPr>
            <w:r>
              <w:rPr>
                <w:rFonts w:hint="eastAsia"/>
                <w:lang w:val="en-US" w:eastAsia="zh-CN"/>
              </w:rPr>
              <w:t>（2）下壳体上线、清洁：人工将下壳体吊运上AGV小车，用吸尘器清理表面，粘贴条码。</w:t>
            </w:r>
          </w:p>
          <w:p>
            <w:pPr>
              <w:bidi w:val="0"/>
              <w:rPr>
                <w:rFonts w:hint="eastAsia"/>
                <w:lang w:val="en-US" w:eastAsia="zh-CN"/>
              </w:rPr>
            </w:pPr>
            <w:r>
              <w:rPr>
                <w:rFonts w:hint="eastAsia"/>
                <w:lang w:val="en-US" w:eastAsia="zh-CN"/>
              </w:rPr>
              <w:t>（3）下壳体涂胶：由自动化涂胶机将导热结构胶的A/B两种组分密闭混合后，涂布到下壳体上。部分涂胶不足的壳体由作业人员利用导热结构胶进行手工补胶作业。该工序会产生少量G2-1涂胶废气。</w:t>
            </w:r>
          </w:p>
          <w:p>
            <w:pPr>
              <w:bidi w:val="0"/>
              <w:rPr>
                <w:rFonts w:hint="eastAsia"/>
                <w:lang w:val="en-US" w:eastAsia="zh-CN"/>
              </w:rPr>
            </w:pPr>
            <w:r>
              <w:rPr>
                <w:rFonts w:hint="eastAsia"/>
                <w:lang w:val="en-US" w:eastAsia="zh-CN"/>
              </w:rPr>
              <w:t>（4）模组入箱、固定：由机械手将4个模组放入箱体内并进行人工固定。</w:t>
            </w:r>
          </w:p>
          <w:p>
            <w:pPr>
              <w:bidi w:val="0"/>
              <w:rPr>
                <w:rFonts w:hint="eastAsia"/>
                <w:lang w:val="en-US" w:eastAsia="zh-CN"/>
              </w:rPr>
            </w:pPr>
            <w:r>
              <w:rPr>
                <w:rFonts w:hint="eastAsia"/>
                <w:lang w:val="en-US" w:eastAsia="zh-CN"/>
              </w:rPr>
              <w:t>（5）安装：由人工将集成面板、铜排、附属零件以及上壳体安装到位。</w:t>
            </w:r>
          </w:p>
          <w:p>
            <w:pPr>
              <w:bidi w:val="0"/>
              <w:rPr>
                <w:rFonts w:hint="eastAsia"/>
                <w:lang w:val="en-US" w:eastAsia="zh-CN"/>
              </w:rPr>
            </w:pPr>
            <w:r>
              <w:rPr>
                <w:rFonts w:hint="eastAsia"/>
                <w:lang w:val="en-US" w:eastAsia="zh-CN"/>
              </w:rPr>
              <w:t>（6）测试：对PACK进行整包和液冷板气密性，检查没有问题后进入下道工序。</w:t>
            </w:r>
          </w:p>
          <w:p>
            <w:pPr>
              <w:bidi w:val="0"/>
              <w:rPr>
                <w:rFonts w:hint="eastAsia"/>
                <w:lang w:val="en-US" w:eastAsia="zh-CN"/>
              </w:rPr>
            </w:pPr>
            <w:r>
              <w:rPr>
                <w:rFonts w:hint="eastAsia"/>
                <w:lang w:val="en-US" w:eastAsia="zh-CN"/>
              </w:rPr>
              <w:t>（7）检测：经测试合格后的PACK下线进行绝缘、耐压测试、充放电测试等检测。检测合格后最终成为2B PACK成品用于集装箱线（7线）。</w:t>
            </w:r>
          </w:p>
          <w:p>
            <w:pPr>
              <w:bidi w:val="0"/>
              <w:rPr>
                <w:rFonts w:hint="default"/>
                <w:b/>
                <w:bCs/>
                <w:lang w:val="en-US" w:eastAsia="zh-CN"/>
              </w:rPr>
            </w:pPr>
            <w:r>
              <w:rPr>
                <w:rFonts w:hint="eastAsia"/>
                <w:b/>
                <w:bCs/>
                <w:lang w:val="en-US" w:eastAsia="zh-CN"/>
              </w:rPr>
              <w:t>3、集装箱线（7线）生产工艺</w:t>
            </w:r>
          </w:p>
          <w:p>
            <w:pPr>
              <w:bidi w:val="0"/>
              <w:spacing w:line="240" w:lineRule="auto"/>
              <w:ind w:left="0" w:leftChars="0" w:firstLine="0" w:firstLineChars="0"/>
              <w:jc w:val="center"/>
              <w:rPr>
                <w:b/>
                <w:bCs/>
              </w:rPr>
            </w:pPr>
            <w:r>
              <w:rPr>
                <w:rFonts w:hint="eastAsia"/>
                <w:b/>
                <w:bCs/>
              </w:rPr>
              <w:object>
                <v:shape id="_x0000_i1028" o:spt="75" type="#_x0000_t75" style="height:153.6pt;width:397.05pt;" o:ole="t" filled="f" o:preferrelative="t" stroked="t" coordsize="21600,21600">
                  <v:path/>
                  <v:fill on="f" focussize="0,0"/>
                  <v:stroke color="#000000" joinstyle="miter"/>
                  <v:imagedata r:id="rId19" o:title=""/>
                  <o:lock v:ext="edit" aspectratio="f"/>
                  <w10:wrap type="none"/>
                  <w10:anchorlock/>
                </v:shape>
                <o:OLEObject Type="Embed" ProgID="Visio.Drawing.15" ShapeID="_x0000_i1028" DrawAspect="Content" ObjectID="_1468075728" r:id="rId18">
                  <o:LockedField>false</o:LockedField>
                </o:OLEObject>
              </w:object>
            </w:r>
            <w:r>
              <w:rPr>
                <w:rFonts w:hint="eastAsia"/>
                <w:b/>
                <w:bCs/>
              </w:rPr>
              <w:t>图2.3-</w:t>
            </w:r>
            <w:r>
              <w:rPr>
                <w:rFonts w:hint="eastAsia"/>
                <w:b/>
                <w:bCs/>
                <w:lang w:val="en-US" w:eastAsia="zh-CN"/>
              </w:rPr>
              <w:t>3  集装箱线工段</w:t>
            </w:r>
            <w:r>
              <w:rPr>
                <w:rFonts w:hint="eastAsia"/>
                <w:b/>
                <w:bCs/>
              </w:rPr>
              <w:t>生产工艺及产污环节流程图</w:t>
            </w:r>
          </w:p>
          <w:p>
            <w:pPr>
              <w:bidi w:val="0"/>
              <w:rPr>
                <w:rFonts w:hint="eastAsia"/>
                <w:lang w:val="en-US" w:eastAsia="zh-CN"/>
              </w:rPr>
            </w:pPr>
            <w:r>
              <w:rPr>
                <w:rFonts w:hint="eastAsia"/>
                <w:lang w:val="en-US" w:eastAsia="zh-CN"/>
              </w:rPr>
              <w:t>生产工艺流程简述：</w:t>
            </w:r>
          </w:p>
          <w:p>
            <w:pPr>
              <w:bidi w:val="0"/>
              <w:rPr>
                <w:rFonts w:hint="eastAsia"/>
                <w:lang w:val="en-US" w:eastAsia="zh-CN"/>
              </w:rPr>
            </w:pPr>
            <w:r>
              <w:rPr>
                <w:rFonts w:hint="eastAsia"/>
                <w:lang w:val="en-US" w:eastAsia="zh-CN"/>
              </w:rPr>
              <w:t>（1）系统组装：将大储线（4线）的2B PACK成品装入集装箱，再进行不锈钢管、消防管道、外协件、电池左/右层架、配电汇流框架、线束组装。管道和外协件固定采用螺栓，线束的固定采用捆扎带，组装完成后形成储能集装箱。组装过程使用硅酮密封胶对集装箱缝隙进行密封。此过程会产生G3-1打胶废气、S3-1废线束、废材料，S3-2废胶瓶。</w:t>
            </w:r>
          </w:p>
          <w:p>
            <w:pPr>
              <w:bidi w:val="0"/>
              <w:rPr>
                <w:rFonts w:hint="eastAsia"/>
                <w:lang w:val="en-US" w:eastAsia="zh-CN"/>
              </w:rPr>
            </w:pPr>
            <w:r>
              <w:rPr>
                <w:rFonts w:hint="eastAsia"/>
                <w:lang w:val="en-US" w:eastAsia="zh-CN"/>
              </w:rPr>
              <w:t>（2）注液：作业人员将需要注液的管道进行气密测试，一定时间后观察管道是否完好。确认需要注液的管道完好无损后利用制冷液真空加注机抽取冷却液进行加注，加注至规定体积后停止加注。加注冷却液过程为密闭空间，会挤排出原有管内空气，从排气阀挤出。此过程不产生有机废气，会产生S3-3废冷却液桶。</w:t>
            </w:r>
          </w:p>
          <w:p>
            <w:pPr>
              <w:bidi w:val="0"/>
              <w:rPr>
                <w:rFonts w:hint="eastAsia"/>
                <w:lang w:val="en-US" w:eastAsia="zh-CN"/>
              </w:rPr>
            </w:pPr>
            <w:r>
              <w:rPr>
                <w:rFonts w:hint="eastAsia"/>
                <w:lang w:val="en-US" w:eastAsia="zh-CN"/>
              </w:rPr>
              <w:t>（3）测试：将储能集装箱按耐压、绝缘、老化、淋雨步骤依次进行测试。此过程会产生W3-1淋雨测试废水。</w:t>
            </w:r>
          </w:p>
          <w:p>
            <w:pPr>
              <w:bidi w:val="0"/>
              <w:rPr>
                <w:rFonts w:hint="eastAsia"/>
                <w:lang w:val="en-US" w:eastAsia="zh-CN"/>
              </w:rPr>
            </w:pPr>
            <w:r>
              <w:rPr>
                <w:rFonts w:hint="eastAsia"/>
                <w:lang w:val="en-US" w:eastAsia="zh-CN"/>
              </w:rPr>
              <w:t>（4）打包、入库：使用拉伸膜对储能集装箱进行打包，完成打包后入库。</w:t>
            </w:r>
          </w:p>
          <w:p>
            <w:pPr>
              <w:pStyle w:val="6"/>
            </w:pPr>
            <w:r>
              <w:t>2.3.2</w:t>
            </w:r>
            <w:r>
              <w:rPr>
                <w:rFonts w:hint="eastAsia"/>
              </w:rPr>
              <w:t>主要污染工序</w:t>
            </w:r>
          </w:p>
          <w:p>
            <w:pPr>
              <w:ind w:firstLine="420" w:firstLineChars="200"/>
              <w:jc w:val="left"/>
            </w:pPr>
            <w:r>
              <w:t>本项目主要污染工序及污染因子见表</w:t>
            </w:r>
            <w:r>
              <w:rPr>
                <w:rFonts w:hint="eastAsia"/>
              </w:rPr>
              <w:t>2.</w:t>
            </w:r>
            <w:r>
              <w:t>3</w:t>
            </w:r>
            <w:r>
              <w:rPr>
                <w:rFonts w:hint="eastAsia"/>
              </w:rPr>
              <w:t>-1。</w:t>
            </w:r>
          </w:p>
          <w:p>
            <w:pPr>
              <w:ind w:firstLine="0" w:firstLineChars="0"/>
              <w:jc w:val="center"/>
              <w:rPr>
                <w:b/>
                <w:bCs/>
              </w:rPr>
            </w:pPr>
            <w:r>
              <w:rPr>
                <w:b/>
                <w:bCs/>
              </w:rPr>
              <w:t>表</w:t>
            </w:r>
            <w:r>
              <w:rPr>
                <w:rFonts w:hint="eastAsia"/>
                <w:b/>
                <w:bCs/>
              </w:rPr>
              <w:t>2.</w:t>
            </w:r>
            <w:r>
              <w:rPr>
                <w:b/>
                <w:bCs/>
              </w:rPr>
              <w:t>3</w:t>
            </w:r>
            <w:r>
              <w:rPr>
                <w:rFonts w:hint="eastAsia"/>
                <w:b/>
                <w:bCs/>
              </w:rPr>
              <w:t>-1  本项目主要污染工序及污染因子一览表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1198"/>
              <w:gridCol w:w="1799"/>
              <w:gridCol w:w="2228"/>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类别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产排污环节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污染源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主要污染因子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对应污染防治措施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激光清洁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G1-1激光清洁废气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颗粒物</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除尘器处理后洁净车间内排放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焊接、焊后清洁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G1-2焊接废气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颗粒物</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下壳体涂胶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G2-1涂胶废气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非甲烷总烃</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洁净车间内排放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设备擦拭</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擦拭废气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非甲烷总烃</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系统组装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G3-1打胶废气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非甲烷总烃</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食堂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油烟废气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油烟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依托现有的油烟净化装置处理后高空排放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淋雨测试</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淋雨测试废水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COD、氨氮、SS</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生活区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生活污水、食堂废水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COD、氨氮、总磷、总氮、动植物油等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依托现有污水站处理后达标纳管排放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噪声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生产设备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设备噪声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噪声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加强减震降噪处理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固废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电芯测试、返工区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S1-1、S1-3、S2-2不合格电芯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外卖综合利用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电芯贴胶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S1-2废胶纸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塑料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外卖综合利用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下壳体涂胶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S2-1废胶桶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胶、塑料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委托有资质单位处理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S2-2废胶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AB胶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委托有资质单位处理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系统组装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S3-1废五金、废线束、废材料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铁、铜、铝、塑料等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外卖综合利用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S3-2废胶瓶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胶、塑料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委托有资质单位处理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注液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S3-3废冷却液桶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乙二醇、包装桶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厂商回收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设备擦拭</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废酒精桶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乙醇、塑料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委托有资质单位处理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职工生活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生活垃圾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果皮、纸屑等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委托环卫部门清运</w:t>
                  </w:r>
                </w:p>
              </w:tc>
            </w:tr>
          </w:tbl>
          <w:p>
            <w:pPr>
              <w:pStyle w:val="5"/>
              <w:spacing w:before="0"/>
              <w:rPr>
                <w:rFonts w:hint="default"/>
              </w:rPr>
            </w:pPr>
            <w:r>
              <w:t>2.4与项目有关的原有环境污染问题</w:t>
            </w:r>
          </w:p>
          <w:p>
            <w:pPr>
              <w:pStyle w:val="6"/>
            </w:pPr>
            <w:r>
              <w:rPr>
                <w:rFonts w:hint="eastAsia"/>
              </w:rPr>
              <w:t>2.4.1现有工程履行环境影响评价、竣工环境保护验收、排污许可手续情况</w:t>
            </w:r>
          </w:p>
          <w:p>
            <w:pPr>
              <w:ind w:firstLine="420" w:firstLineChars="200"/>
            </w:pPr>
            <w:r>
              <w:rPr>
                <w:rFonts w:hint="eastAsia"/>
                <w:lang w:eastAsia="zh-CN"/>
              </w:rPr>
              <w:t>浙江晶科储能有限公司成立于2023年4月，</w:t>
            </w:r>
            <w:r>
              <w:rPr>
                <w:rFonts w:hint="eastAsia"/>
                <w:lang w:val="en-US" w:eastAsia="zh-CN"/>
              </w:rPr>
              <w:t>公司位于黄湾镇尖山新区向心路8号</w:t>
            </w:r>
            <w:r>
              <w:rPr>
                <w:rFonts w:hint="eastAsia"/>
                <w:lang w:eastAsia="zh-CN"/>
              </w:rPr>
              <w:t>，主要从事电池制造、储能技术服务、电池零配件生产、电力设施器材制造等。</w:t>
            </w:r>
            <w:r>
              <w:rPr>
                <w:rFonts w:hint="eastAsia"/>
                <w:lang w:val="en-US" w:eastAsia="zh-CN"/>
              </w:rPr>
              <w:t>经审批生产规模为成年产12GWh储能系统与12GWh储能电池的生产能力及33.59MWh/年的研发中试产能</w:t>
            </w:r>
            <w:r>
              <w:rPr>
                <w:rFonts w:hint="eastAsia"/>
                <w:lang w:eastAsia="zh-CN"/>
              </w:rPr>
              <w:t>。</w:t>
            </w:r>
            <w:r>
              <w:rPr>
                <w:rFonts w:hint="eastAsia"/>
                <w:lang w:val="en-US" w:eastAsia="zh-CN"/>
              </w:rPr>
              <w:t>企业已申领排污许可简化管理，排污许可证编号为：</w:t>
            </w:r>
            <w:r>
              <w:rPr>
                <w:rFonts w:hint="eastAsia"/>
              </w:rPr>
              <w:t>91330481MACH1XP84W001Q</w:t>
            </w:r>
            <w:r>
              <w:rPr>
                <w:rFonts w:hint="eastAsia"/>
                <w:lang w:eastAsia="zh-CN"/>
              </w:rPr>
              <w:t>。</w:t>
            </w:r>
            <w:r>
              <w:rPr>
                <w:rFonts w:hint="eastAsia"/>
              </w:rPr>
              <w:t>企业历年审批验收情况见表</w:t>
            </w:r>
            <w:r>
              <w:t>2</w:t>
            </w:r>
            <w:r>
              <w:rPr>
                <w:rFonts w:hint="eastAsia"/>
              </w:rPr>
              <w:t>.4-1。</w:t>
            </w:r>
          </w:p>
          <w:p>
            <w:pPr>
              <w:ind w:firstLine="0" w:firstLineChars="0"/>
              <w:jc w:val="center"/>
              <w:rPr>
                <w:b/>
                <w:bCs/>
              </w:rPr>
            </w:pPr>
            <w:r>
              <w:rPr>
                <w:rFonts w:hint="eastAsia"/>
                <w:b/>
                <w:bCs/>
              </w:rPr>
              <w:t>表2.4-1 环保审批及验收情况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1308"/>
              <w:gridCol w:w="1146"/>
              <w:gridCol w:w="2068"/>
              <w:gridCol w:w="898"/>
              <w:gridCol w:w="2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序号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环评批复</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项目主要内容</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“三同时”验收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晶科储能年产12GWh系统与12GWh 电池项目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嘉环海建〔2023〕150 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年产12GWh储能系统与12GWh储能电池的生产能力及33.59MWh/年的研发中试产能</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2024年11月阶段性自主验收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一阶段已实施5GWh储能电池和5GWh储能系统以及33.59MWh/年的研发中试产能</w:t>
                  </w:r>
                </w:p>
              </w:tc>
            </w:tr>
          </w:tbl>
          <w:p>
            <w:pPr>
              <w:pStyle w:val="6"/>
              <w:jc w:val="center"/>
              <w:rPr>
                <w:rFonts w:hint="default" w:eastAsia="宋体"/>
                <w:lang w:val="en-US" w:eastAsia="zh-CN"/>
              </w:rPr>
            </w:pPr>
            <w:r>
              <w:rPr>
                <w:rFonts w:hint="eastAsia"/>
                <w:lang w:val="en-US" w:eastAsia="zh-CN"/>
              </w:rPr>
              <w:t>表2.4-2  主要工程建设情况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08"/>
              <w:gridCol w:w="2634"/>
              <w:gridCol w:w="2511"/>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工程类别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建/构筑物名称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环评设计建设内容及规模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第一阶段实际建设情况</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变动情况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主体工程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M1储能电芯厂房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正极生产线4条，负极生产线4条，极片组装线3条，年产280Ah电芯12GWh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正极生产线4条，负极生产线4条，极片组装线3条，年产280Ah电芯12GWh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电芯规格由额定容量280Ah变更为314Ah，现阶段建成正极生产线2条，负极生产线2条，极片组装线1条，现阶段产能为年产电芯5GWh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M2模组装配厂房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2CPACK生产线1条，2BPACK生产线3条，年产2CPACK1GWh、2BPACK11GWh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2BPACK生产线1条，年产2BPACK5GWh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2CPACK生产线</w:t>
                  </w:r>
                  <w:r>
                    <w:rPr>
                      <w:rFonts w:hint="eastAsia"/>
                      <w:sz w:val="18"/>
                      <w:szCs w:val="18"/>
                      <w:lang w:val="en-US" w:eastAsia="zh-CN"/>
                    </w:rPr>
                    <w:t>不再建设</w:t>
                  </w:r>
                  <w:r>
                    <w:rPr>
                      <w:rFonts w:hint="eastAsia"/>
                      <w:sz w:val="18"/>
                      <w:szCs w:val="18"/>
                    </w:rPr>
                    <w:t>，2BPACK生产线建成1条，2BPACK生产线产能为5GWh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C1系统组装厂房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储能集装箱装配线3条，主要将2BPACK组装为储能集装箱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储能集装箱装配线1条，主要将2BPACK组装为储能集装箱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C2研发及中试车间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1~2层布置方壳、软包电池生产线1套，3~4层布置研发实验室。主要从事中试产品的研发与试生产，研发中试产能33.59MWh/年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1~2层布置方壳、软包电池生产线1套，3~4层布置研发实验室。主要从事中试产品的研发与试生产，研发中试产能33.59MWh/年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储运工程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H1原料仓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电芯生产所需的一般原辅料储存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电芯生产所需的一般原辅料储存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H3电解液仓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电解液储存，包含常温储存区、低温储存区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电解液储存，包含常温储存区、低温储存区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NMP罐区及泵房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主要布置10座100立方米NMP储罐，其中1座用于NMP新料储存、9座用于精馏回收料的储存；泵房负责NMP卸车及泵送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主要布置10座100立方米NMP储罐，其中5座用于NMP新料储存、5座用于NMP废液储存；泵房负责NMP卸车及泵送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由于NMP精馏工艺暂未建设，NMP储罐调整为5座用于NMP新料储存、5座用于NMP废液储存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电芯成品仓（含模组原料仓）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电芯成品仓（含模组原料仓）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主要用于314Ah成品电芯的储存、模组PACK工序原材料的储存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不</w:t>
                  </w:r>
                  <w:r>
                    <w:rPr>
                      <w:rFonts w:hint="eastAsia"/>
                      <w:sz w:val="18"/>
                      <w:szCs w:val="18"/>
                      <w:lang w:val="en-US" w:eastAsia="zh-CN"/>
                    </w:rPr>
                    <w:t>再</w:t>
                  </w:r>
                  <w:r>
                    <w:rPr>
                      <w:rFonts w:hint="eastAsia"/>
                      <w:sz w:val="18"/>
                      <w:szCs w:val="18"/>
                    </w:rPr>
                    <w:t>涉及2CPACK生产线外购电芯的储存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PACK成品仓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2CPACK和2BPACK储存，储能集装箱装配所需的原材料储存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2BPACK储存，储能集装箱装配所需的原材料储存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不</w:t>
                  </w:r>
                  <w:r>
                    <w:rPr>
                      <w:rFonts w:hint="eastAsia"/>
                      <w:sz w:val="18"/>
                      <w:szCs w:val="18"/>
                      <w:lang w:val="en-US" w:eastAsia="zh-CN"/>
                    </w:rPr>
                    <w:t>再</w:t>
                  </w:r>
                  <w:r>
                    <w:rPr>
                      <w:rFonts w:hint="eastAsia"/>
                      <w:sz w:val="18"/>
                      <w:szCs w:val="18"/>
                    </w:rPr>
                    <w:t>涉及2CPACK储存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公用及辅助工程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动力站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主要布置空压机、冷水机组、制氮机、冷却塔、水泵纯水系统、消防泵组等动力设施</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主要布置空压机、冷水机组、制氮机、冷却塔、水泵纯水系统、消防泵组等动力设施</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NMP精馏回收区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主要负责将正极涂布、烘干工序产生的NMP废液精馏后回收，设有3.5t/h的NMP三塔精馏回收装置1套，20立方米NMP废液缓存罐2座，残黑液储存罐1座，废水罐1座</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暂未建设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现阶段暂未建设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110kV变电站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主要布置厂区供电设施（如变压器）等（涉及辐射部分另行环评）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暂未建设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现阶段暂未建设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20kV开闭所</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将外部供电分流至各个车间（涉及辐射部分另行环评）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将外部供电分流至各个车间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理化实验室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H1原料仓南侧，主要从事电池理化性能检测、化学分析等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H1原料仓南侧，主要从事电池理化性能检测、化学分析等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H7安全实验室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电芯及储能产品的安全性测试（浸泡、过充过放、短路、针刺、加热、热失控测试等）、不合格电芯的电芯拆解</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电芯及储能产品的安全性测试（浸泡、过充过放、短路、针刺、加热、热失控测试等）、不合格电芯的电芯拆解</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其他实验室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是各生产线及车间的配套实验室，如产品老化实验室（户储/PCS）、产品性能实验室（户储/工商业/簇）、硬件实验室、BMS/EMS-HIIL实验室、PCS-HIL实验室、扣电实验室+材料实验室、软包实验室、电芯性能实验室、PACK/簇实验室、电芯循环测试间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主要是各生产线及车间的配套实验室，如产品老化实验室（户储/PCS）、产品性能实验室（户储/工商业/簇）、硬件实验室、BMS/EMS-HIIL实验室、PCS-HIL实验室、扣电实验室+材料实验室、软包实验室、电芯性能实验室、PACK/簇实验室、电芯循环测试间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云中心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用于展厅，培训室，大型会议厅，客户接待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用于展厅，培训室，大型会议厅，客户接待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餐厅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厂区人员就餐及食物加工</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厂区人员就餐及食物加工</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综合楼</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人员办公</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人员办公</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门卫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厂区出入人员及物流管理</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厂区出入人员及物流管理</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供水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自来水由市政供水管网提供，纯水由厂区自备的纯水机组提供，冰水由厂区冷冻水站提供</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自来水由市政供水管网提供，纯水由厂区自备的纯水机组提供，冰水由厂区冷冻水站提供</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供电</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市政电网供应，厂区设置110kV变电站1座，开闭所1座</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市政电网供应，厂区设置20kV开闭所一座</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110kV变电站现阶段暂未建设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供热</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高温蒸汽来自园区蒸汽管网，蒸汽温度175℃，压力0.7MPa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高温蒸汽来自园区蒸汽管网，蒸汽温度175℃，压力0.7MPa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氮气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厂区制氮机组提供，采用碳分子筛工艺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厂区制氮机组提供，采用碳分子筛工艺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压缩空气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厂区空压机组供应，供气压力0.8MPa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厂区空压机组供应，供气压力0.8MPa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环保工程</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电芯单体生产废气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正极投料间除尘器1套，负极投料间除尘器1套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正极投料间除尘器1套，负极投料间除尘器1套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正极制浆废气治理设施（真空泵直连活性炭吸附装置处理后无组织排放）1套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正极制浆废气治理设施（真空泵直连活性炭吸附装置处理后无组织排放）1套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正极涂布、烘干废气：“余热回收+两级冷凝+回风+转轮吸附”装置4套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正极涂布、烘干废气：“余热回收+两级冷凝+回风+转轮吸附”装置4套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现阶段为2条生产线，处理设备为2套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分条、分切粉尘：除尘系统2套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分条、分切粉尘：除尘系统2套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增加除尘器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焊接烟尘：焊接烟尘除尘器15套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焊接烟尘：焊接烟尘除尘器2套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现阶段未完全建成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烘烤、注液、化成废气：碱喷淋+除雾+活性炭吸附装置1套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烘烤、注液、化成废气：碱喷淋+除雾+活性炭吸附装置1套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研发中试线废气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正极投料间除尘器1套，负极投料间除尘器1套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正极投料间除尘器1套，负极投料间除尘器1套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正极制浆废气治理设施（真空泵直连活性炭吸附装置处理后无组织排放）1套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正极制浆废气治理设施（真空泵直连活性炭吸附装置处理后无组织排放）1套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正极涂布、烘干废气：“余热回收+两级冷凝+回风+转轮吸附”装置1套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正极涂布、烘干废气：“余热回收+两级冷凝+回风+转轮吸附”装置1套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分条、分切粉尘：除尘系统2套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分条、分切粉尘：除尘系统2套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焊接烟尘：焊接烟尘除尘器2套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焊接烟尘：焊接烟尘除尘器2套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烘烤、注液、化成废气：碱喷淋+除雾+活性炭吸附装置1套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烘烤、注液、化成废气：碱喷淋+除雾+活性炭吸附装置1套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模组PACK废气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等离子清洁、激光清洁、激光焊接、焊后清洁废气：除尘器20套处理后洁净间内排放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等离子清洁、激光清洁、激光焊接、焊后清洁废气：除尘器5套处理后洁净间内排放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现阶段未完全建成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涂胶废气：源头削减，采用低VOCs含量胶黏剂，线涂胶废气洁净间内排放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涂胶废气：源头削减，采用低VOCs含量胶黏剂，线涂胶废气洁净间内排放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公用工程废气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污水处理站废气：“碱喷淋+除雾+活性炭吸附”装置1套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污水处理站废气：“碱喷淋+除雾（除雾装置为喷淋塔自带折流板除雾器）+活性炭吸附”装置1套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除雾装置为喷淋塔自带折流板除雾器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理化实验室废气：活性炭吸附装置1套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理化实验室废气：碱喷淋+除雾器+活性炭吸附装置1套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增加碱喷淋及除雾器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H7安全实验室废气：水喷淋+除雾+活性炭吸附装置1套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H7安全实验室废气：碱喷淋+除雾+活性炭吸附装置1套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喷淋装置由水喷淋改为碱喷淋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NMP精馏废气：2级水喷淋装置1套；NMP储罐设置水封、平衡管若干；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NMP精馏暂未建设；NMP储罐设置氮封、平衡管若干；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NMP精馏现阶段未建设；NMP储罐水封改为氮封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食堂油烟：油烟净化器1套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食堂油烟：油烟净化器1套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废水处理</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正负极清洗废水预处理装置：格栅+调节池+混凝沉淀装置1套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正负极清洗废水预处理装置：格栅+调节池+混凝沉淀装置1套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综合废水处理装置：“格栅+混合调节池+气浮+综合调节池+厌氧+A/O+二沉池”1套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综合废水处理装置：“格栅+混合调节池+气浮+综合调节池+厌氧+A/O+二沉池”1套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污泥处理采用板框压滤，1套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污泥处理采用板框压滤，1套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危废仓库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位于厂区西北侧，1F，建筑面积1499.1m2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位于厂区西北侧，1F，建筑面积1499.1m2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一般固废仓库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位于厂区西北侧，1F，建筑面积1300m2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位于厂区西北侧，1F，建筑面积1300m2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其他</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初期雨水池（兼做事故应急池），容积900m3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初期雨水池（兼做事故应急池），容积900m3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无变动</w:t>
                  </w:r>
                </w:p>
              </w:tc>
            </w:tr>
          </w:tbl>
          <w:p>
            <w:pPr>
              <w:pStyle w:val="6"/>
              <w:rPr>
                <w:rFonts w:hint="default" w:eastAsia="宋体"/>
                <w:lang w:val="en-US" w:eastAsia="zh-CN"/>
              </w:rPr>
            </w:pPr>
            <w:r>
              <w:rPr>
                <w:rFonts w:hint="eastAsia"/>
              </w:rPr>
              <w:t>2.4.2</w:t>
            </w:r>
            <w:r>
              <w:rPr>
                <w:rFonts w:hint="eastAsia"/>
                <w:lang w:val="en-US" w:eastAsia="zh-CN"/>
              </w:rPr>
              <w:t>现有项目产量</w:t>
            </w:r>
          </w:p>
          <w:p>
            <w:pPr>
              <w:ind w:firstLine="0" w:firstLineChars="0"/>
              <w:jc w:val="center"/>
              <w:rPr>
                <w:rFonts w:hint="eastAsia"/>
                <w:b/>
                <w:bCs/>
              </w:rPr>
            </w:pPr>
            <w:r>
              <w:rPr>
                <w:rFonts w:hint="eastAsia"/>
                <w:b/>
                <w:bCs/>
              </w:rPr>
              <w:t>表2.4-</w:t>
            </w:r>
            <w:r>
              <w:rPr>
                <w:rFonts w:hint="eastAsia"/>
                <w:b/>
                <w:bCs/>
                <w:lang w:val="en-US" w:eastAsia="zh-CN"/>
              </w:rPr>
              <w:t>3</w:t>
            </w:r>
            <w:r>
              <w:rPr>
                <w:rFonts w:hint="eastAsia"/>
                <w:b/>
                <w:bCs/>
              </w:rPr>
              <w:t xml:space="preserve"> </w:t>
            </w:r>
            <w:r>
              <w:rPr>
                <w:rFonts w:hint="eastAsia"/>
                <w:b/>
                <w:bCs/>
                <w:lang w:val="en-US" w:eastAsia="zh-CN"/>
              </w:rPr>
              <w:t xml:space="preserve"> </w:t>
            </w:r>
            <w:r>
              <w:rPr>
                <w:rFonts w:hint="eastAsia"/>
                <w:b/>
                <w:bCs/>
              </w:rPr>
              <w:t>企业现有项目生产规模汇总表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772"/>
              <w:gridCol w:w="1028"/>
              <w:gridCol w:w="858"/>
              <w:gridCol w:w="1137"/>
              <w:gridCol w:w="3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产品</w:t>
                  </w:r>
                  <w:r>
                    <w:rPr>
                      <w:sz w:val="18"/>
                      <w:szCs w:val="18"/>
                    </w:rPr>
                    <w:t>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环评审批规模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验收规模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2024年实际生产规模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产品方案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LFP方形电芯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12GWh/a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lang w:val="en-US" w:eastAsia="zh-CN"/>
                    </w:rPr>
                    <w:t>5</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储能 PACK</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2C PACK</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2C PACK产线不再实施；2B PACK电芯部分来自现有项目生产，部分外购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2B PACK</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r>
                    <w:rPr>
                      <w:rFonts w:hint="eastAsia"/>
                      <w:sz w:val="18"/>
                      <w:szCs w:val="18"/>
                    </w:rPr>
                    <w:t>GWh/a</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储能集装箱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r>
                    <w:rPr>
                      <w:rFonts w:hint="eastAsia"/>
                      <w:sz w:val="18"/>
                      <w:szCs w:val="18"/>
                    </w:rPr>
                    <w:t>GWh/a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自产的电芯首先组装成2B PACK，然后全部用于储能集装箱组装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0" w:type="auto"/>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中试方案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方壳和软包电池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33.59</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33.59</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MWh/a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33.59</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MWh/a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大部分用于拆解、测试和送检，少部分满足《电力储能用锂离子电池》（GB/T 36276-2018）外售。</w:t>
                  </w:r>
                </w:p>
              </w:tc>
            </w:tr>
          </w:tbl>
          <w:p>
            <w:pPr>
              <w:pStyle w:val="6"/>
              <w:rPr>
                <w:b/>
                <w:bCs/>
                <w:szCs w:val="18"/>
              </w:rPr>
            </w:pPr>
            <w:r>
              <w:rPr>
                <w:rFonts w:hint="eastAsia"/>
                <w:b/>
                <w:bCs/>
              </w:rPr>
              <w:t>2.4.3现有项目原辅材料消耗</w:t>
            </w:r>
          </w:p>
          <w:p>
            <w:pPr>
              <w:ind w:firstLine="0" w:firstLineChars="0"/>
              <w:jc w:val="center"/>
              <w:rPr>
                <w:b/>
                <w:bCs/>
              </w:rPr>
            </w:pPr>
            <w:r>
              <w:rPr>
                <w:rFonts w:hint="eastAsia"/>
                <w:b/>
                <w:bCs/>
              </w:rPr>
              <w:t>表2.4-</w:t>
            </w:r>
            <w:r>
              <w:rPr>
                <w:rFonts w:hint="eastAsia"/>
                <w:b/>
                <w:bCs/>
                <w:lang w:val="en-US" w:eastAsia="zh-CN"/>
              </w:rPr>
              <w:t>4</w:t>
            </w:r>
            <w:r>
              <w:rPr>
                <w:rFonts w:hint="eastAsia"/>
                <w:b/>
                <w:bCs/>
              </w:rPr>
              <w:t xml:space="preserve"> 企业现有项目</w:t>
            </w:r>
            <w:r>
              <w:rPr>
                <w:b/>
                <w:bCs/>
              </w:rPr>
              <w:t>原辅材料及用量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480"/>
              <w:gridCol w:w="2087"/>
              <w:gridCol w:w="971"/>
              <w:gridCol w:w="919"/>
              <w:gridCol w:w="961"/>
              <w:gridCol w:w="791"/>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类别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原辅材料名称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环评审批量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验收用量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24年实际用量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变化量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电芯</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磷酸铁锂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31051.48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11537.17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11537.17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勃母石</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111.13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41.29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41.29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614.08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228.16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228.16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粘结剂PVDF</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655.40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243.51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243.51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17583.11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6533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6533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量产线用储罐，测试中心用吨桶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3621.77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1345.67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1345.67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负极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石墨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15820.67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5878.17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5878.17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135.35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50.29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50.29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纯水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13566.68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5040.70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5040.70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增稠剂CMC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196.62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粘结剂SBR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824.94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306.51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306.51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铜箔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5632.12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2092.62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2092.62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注液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电解液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15814.97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6140.74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6140.74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14247721组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5293739组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5293739组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铝转接片、铜转接片、化成钉、金属密封钉、塑胶密封钉、芯包保护膜、底托板、顶贴片、胶带、蓝膜等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14247721套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5293739套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5293739套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模组 PACK 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2C</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PACK</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户用低压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方形铝壳电</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781328件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不再生产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195316套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高压用户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电芯B07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4687969件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390626套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PET双面胶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4296886件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 PACK生产</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外壳及附属零件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258720套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128720套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128720套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12276786件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4976115件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4976115件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导热结构胶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726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储能集装箱装配</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2BPACK</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65104组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4811组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4811组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集装箱本体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冷却机组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冷却液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附属零件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3234套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1000套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R410A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73.33L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33.33L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-73.33L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本项目实施后集装箱自带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研发中试车间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研发中试线</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磷酸铁锂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272.36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272.36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272.36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勃母石</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粘结PVDF</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154.23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154.23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154.23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31.77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负极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石墨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导电剂SP</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纯水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119.00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增稠剂CMC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粘结剂SBR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7.24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铜箔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49.40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49.40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49.40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注液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电解液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138.72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隔膜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组装</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铝转接片、铜转接片、化成钉、金属密封钉、塑胶密封钉、芯包保护膜、底托板、顶贴片、胶带、蓝膜等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124972套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8"/>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实验室、污水站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酸类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PH4.0缓冲溶液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盐酸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硝酸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硫酸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磷酸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高氯酸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氢氟酸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一水柠檬酸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碱类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PH10.0缓冲溶液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氢氧化钠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防腐柜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盐类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邻苯二甲酸氢钾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碘化钾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硫代硫酸钠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钼酸钠二水合物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二氯化锡</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甲醇钠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氯化钾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氯化钠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硝酸银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无水碳酸钠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三氯化铁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有机溶剂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卡尔费休试剂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乙醇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喹啉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丙酮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甲醇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异丙醇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碳酸二甲酯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其他试剂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PH7.00缓冲溶液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电导率标液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过氧化氢</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Fe、K、Mg、Zn等金属标准溶液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钇(Y)金属标准溶液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P\S标准溶液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50ml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重铬酸钾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0.5kg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单晶硅粉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500g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250g</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试剂柜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污水处理药剂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氢氧化钠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43.56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阴离子PAM</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0.912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blHeader/>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阳离子PAM</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加药间</w:t>
                  </w:r>
                </w:p>
              </w:tc>
            </w:tr>
          </w:tbl>
          <w:p>
            <w:pPr>
              <w:pStyle w:val="6"/>
              <w:rPr>
                <w:b/>
                <w:bCs/>
                <w:sz w:val="18"/>
                <w:szCs w:val="18"/>
              </w:rPr>
            </w:pPr>
            <w:r>
              <w:rPr>
                <w:rFonts w:hint="eastAsia"/>
                <w:b/>
                <w:bCs/>
              </w:rPr>
              <w:t>2.4.</w:t>
            </w:r>
            <w:r>
              <w:rPr>
                <w:rFonts w:hint="eastAsia"/>
                <w:b/>
                <w:bCs/>
                <w:lang w:val="en-US" w:eastAsia="zh-CN"/>
              </w:rPr>
              <w:t>4</w:t>
            </w:r>
            <w:r>
              <w:rPr>
                <w:rFonts w:hint="eastAsia"/>
                <w:b/>
                <w:bCs/>
              </w:rPr>
              <w:t>现有项目主要生产设备情况</w:t>
            </w:r>
          </w:p>
          <w:p>
            <w:pPr>
              <w:ind w:firstLine="361"/>
              <w:jc w:val="center"/>
              <w:rPr>
                <w:b/>
                <w:sz w:val="21"/>
                <w:szCs w:val="21"/>
              </w:rPr>
            </w:pPr>
            <w:r>
              <w:rPr>
                <w:rFonts w:hint="eastAsia"/>
                <w:b/>
                <w:bCs/>
                <w:sz w:val="21"/>
                <w:szCs w:val="21"/>
              </w:rPr>
              <w:t>表2.4-</w:t>
            </w:r>
            <w:r>
              <w:rPr>
                <w:rFonts w:hint="eastAsia"/>
                <w:b/>
                <w:bCs/>
                <w:sz w:val="21"/>
                <w:szCs w:val="21"/>
                <w:lang w:val="en-US" w:eastAsia="zh-CN"/>
              </w:rPr>
              <w:t xml:space="preserve">5 </w:t>
            </w:r>
            <w:r>
              <w:rPr>
                <w:rFonts w:hint="eastAsia"/>
                <w:b/>
                <w:bCs/>
                <w:sz w:val="21"/>
                <w:szCs w:val="21"/>
              </w:rPr>
              <w:t xml:space="preserve"> 企业</w:t>
            </w:r>
            <w:r>
              <w:rPr>
                <w:b/>
                <w:sz w:val="21"/>
                <w:szCs w:val="21"/>
              </w:rPr>
              <w:t>主要生产设备及数量  单位：台（套）</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677"/>
              <w:gridCol w:w="1723"/>
              <w:gridCol w:w="666"/>
              <w:gridCol w:w="615"/>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主要生产单元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设备名称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项目审批量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实际数量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正极生产线（4条线）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正极粉料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正极粉料系统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正极生产线现阶段建成2条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正极搅拌</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1500L正极搅拌机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650L陶瓷搅拌机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正极溶剂系统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正极浆料输送系统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正极窄幅挤压涂布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现阶段3#、4#线暂未建设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螺杆真空机组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正极生产线现阶段建成2条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NMP回收系统（含总进总排）</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正极凹版挤压涂布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正极辊压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正极热压辊分一体机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正极生产线现阶段建成2条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正极模切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激光模分一体机（正极）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负极生产线（4条线）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负极粉料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负极粉料系统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负极生产线现阶段建成2条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负极搅拌</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1500L负极搅拌机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负极溶剂系统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负极溶剂系统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负极窄幅挤压涂布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热回收系统（含总进总排）</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负极辊压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负极双轧辊分一体机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负极模切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激光模分一体机（负极）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电芯组装（3条线）</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装配车间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装配车间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8</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组装线现阶段建成1条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预热炉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热压机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X-ray</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检测配对机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超声波焊接机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转接片激光焊接机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包Mylar机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入壳预焊机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顶盖激光焊接机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一次氦检机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烘烤设备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一次注液主机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二次注液主机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密封钉焊接机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二次氦检机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（泄露检测）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填丝补焊机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（离线）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化成车间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高温1+2物流线区域1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常温1+2物流线区域2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常温3+4物流线区域3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化成柜2列8层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插钉机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拔钉机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擦式机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分容/补电柜2列8层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24</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OCV机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（测试分选）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DCIR机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（内阻测试）</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等离子清洗机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包蓝膜机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外观检测机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分选机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公用单元</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辅助系统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螺杆空压机组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离心空压机组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吸附式干燥机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压缩空气储气罐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软化水制备设备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现阶段暂不制备软化水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纯水制备设备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制氮机组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氮气不锈钢储气罐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水冷变频离心式冷水机组</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（中低温双工况）</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水冷低温工频离心式冷水机组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开式方形横流冷却塔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一体式蒸发冷凝冷水机组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空调机组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消防泵组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储运系统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NMP储罐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环评设计为1座新料罐、9座循环料罐，由于NMP精馏工艺暂未建设，调整为5座新料罐、5座废液罐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NMP精馏系统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NMP精馏系统现阶段暂未建设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模组生产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2C模组pack产线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电芯上线、输送设备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不再实施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电芯分选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电芯清洁设备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板绝缘片粘贴&amp;绝缘片粘贴检测设备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电芯贴胶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模组预堆叠、模组转序设备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模组成型、输送、测试系统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极柱寻址，激光清洗、汇流排安装系统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极柱寻址，激光清洗、汇流排安装系统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汇流排焊后清洁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焊后检测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下壳体上线清洁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模组组装、模组入箱、壳体、上盖安装设施</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测试</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打包线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2B模组pack产线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电芯上线、输送设备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2BPACK生产线现阶段建成1条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电芯分选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板绝缘片粘贴&amp;绝缘片粘贴检测设备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电芯贴胶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模组预堆叠、模组转序设备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模组成型、输送、测试系统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极柱寻址，激光清洗、汇流排安装系统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汇流排焊接</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汇流排焊后清洁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焊后检测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下壳体上线清洁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下壳体涂胶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模组组装、模组入箱、壳体、上盖安装设施</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测试</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打包线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AGV物流运输系统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23</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系统组装</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组装线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工装小车</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集装箱装配设备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集装箱分装设备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集装箱装配叉车</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测试</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集装箱测试系统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6"/>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研发中试车间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中试车间</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正极试制线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正极配料系统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350L正极搅拌机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100L搅拌机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正极溶剂加注系统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正极单层挤压涂布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NMP回收系统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正极热压辊压机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正极分切机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正极激光模分一体机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正极五金制片机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负极试制线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负极配料系统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350L负极搅拌机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100L搅拌机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负极溶剂加注系统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负极单层挤压涂布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负极冷压辊压机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负极分切机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负极激光模分一体机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负极五金制片机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方壳试制线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叠片机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（双工位料盒式）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除尘机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切叠一体机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（双工位）</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除尘机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负压风机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卷绕机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除尘机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热压机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X-ray检测机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预焊裁切机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超声波焊接机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顶盖刻码&amp;转接片激光焊接机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转接片激光焊接机辅机电柜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包Mylar机</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（半自动）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入壳预焊&amp;顶盖激光焊接机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一次&amp;二次氦检机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单体炉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一次注液主机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真空泵(一注)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二次注液主机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密封钉焊接机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等离子清洗机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包蓝膜机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化成柜单列2层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分容单列2层</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OCV机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高温柜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高温区域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常温区域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软包试制线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方形电池半自动卷绕机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真空烘箱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双分散轴真空行星搅拌机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工业冷水机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多功能涂布机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精密连续压片机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浆料供料装置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平板热压机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超声波极耳焊接机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铝塑膜裁切机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单工位热封机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软包电池注液封口机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恒温箱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卧式64通道热压化成机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转盘式真空终封机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蓝电电池测试系统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现阶段暂设置1台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公用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真空泵</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一体式超纯水设备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产品老化实验室（户储/PCS）</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PCS测试平台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逆变器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产品性能实验室（户储/工商业/簇）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逆变器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光伏模拟源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PCS</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充放电设备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环境箱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硬件实验室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硬件测试台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BMS/EMS-HIL实验室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BMS-HIL测试平台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30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PCS-HIL实验室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PCS-HIL测试平台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30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扣电实验室+材料实验室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扣电设备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30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软包实验室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充放电设备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高低温箱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5</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恒温箱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电芯性能实验室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充放电设备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高低温箱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PACK/簇实验室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充放电设备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4</w:t>
                  </w:r>
                </w:p>
              </w:tc>
              <w:tc>
                <w:tcPr>
                  <w:tcW w:w="3014"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现阶段数量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高低温箱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9</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热管理平台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电芯循环测试间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充放电设备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55</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恒温箱</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167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55</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安全实验室</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电芯自燃柜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bl>
          <w:p>
            <w:pPr>
              <w:pStyle w:val="6"/>
              <w:rPr>
                <w:rFonts w:hint="eastAsia"/>
                <w:b/>
                <w:bCs/>
              </w:rPr>
            </w:pPr>
            <w:r>
              <w:rPr>
                <w:rFonts w:hint="eastAsia"/>
                <w:b/>
                <w:bCs/>
              </w:rPr>
              <w:t>2.</w:t>
            </w:r>
            <w:r>
              <w:rPr>
                <w:rFonts w:hint="eastAsia"/>
                <w:b/>
                <w:bCs/>
                <w:lang w:eastAsia="zh-CN"/>
              </w:rPr>
              <w:t>4</w:t>
            </w:r>
            <w:r>
              <w:rPr>
                <w:rFonts w:hint="eastAsia"/>
                <w:b/>
                <w:bCs/>
              </w:rPr>
              <w:t>.5现有项目劳动定员和工作制度</w:t>
            </w:r>
          </w:p>
          <w:p>
            <w:pPr>
              <w:ind w:firstLine="420" w:firstLineChars="200"/>
              <w:rPr>
                <w:rFonts w:hint="eastAsia" w:eastAsia="宋体"/>
                <w:lang w:val="en-US" w:eastAsia="zh-CN"/>
              </w:rPr>
            </w:pPr>
            <w:r>
              <w:rPr>
                <w:rFonts w:hint="default"/>
              </w:rPr>
              <w:t>现有</w:t>
            </w:r>
            <w:r>
              <w:rPr>
                <w:rFonts w:hint="eastAsia"/>
                <w:lang w:val="en-US" w:eastAsia="zh-CN"/>
              </w:rPr>
              <w:t>项目</w:t>
            </w:r>
            <w:r>
              <w:rPr>
                <w:rFonts w:hint="default"/>
              </w:rPr>
              <w:t>员工</w:t>
            </w:r>
            <w:r>
              <w:rPr>
                <w:rFonts w:hint="eastAsia"/>
                <w:lang w:val="en-US" w:eastAsia="zh-CN"/>
              </w:rPr>
              <w:t>审批</w:t>
            </w:r>
            <w:r>
              <w:rPr>
                <w:rFonts w:hint="default"/>
              </w:rPr>
              <w:t>数为</w:t>
            </w:r>
            <w:r>
              <w:rPr>
                <w:rFonts w:hint="eastAsia"/>
                <w:lang w:val="en-US" w:eastAsia="zh-CN"/>
              </w:rPr>
              <w:t>2500</w:t>
            </w:r>
            <w:r>
              <w:rPr>
                <w:rFonts w:hint="default"/>
              </w:rPr>
              <w:t>人</w:t>
            </w:r>
            <w:r>
              <w:rPr>
                <w:rFonts w:hint="eastAsia"/>
                <w:lang w:eastAsia="zh-CN"/>
              </w:rPr>
              <w:t>，</w:t>
            </w:r>
            <w:r>
              <w:rPr>
                <w:rFonts w:hint="default"/>
              </w:rPr>
              <w:t>生产车间实行</w:t>
            </w:r>
            <w:r>
              <w:rPr>
                <w:rFonts w:hint="eastAsia"/>
                <w:lang w:val="en-US" w:eastAsia="zh-CN"/>
              </w:rPr>
              <w:t>两</w:t>
            </w:r>
            <w:r>
              <w:rPr>
                <w:rFonts w:hint="default"/>
              </w:rPr>
              <w:t>班制生产(每班12h)，年工作日为3</w:t>
            </w:r>
            <w:r>
              <w:rPr>
                <w:rFonts w:hint="eastAsia"/>
                <w:lang w:val="en-US" w:eastAsia="zh-CN"/>
              </w:rPr>
              <w:t>3</w:t>
            </w:r>
            <w:r>
              <w:rPr>
                <w:rFonts w:hint="default"/>
              </w:rPr>
              <w:t>0天</w:t>
            </w:r>
            <w:r>
              <w:rPr>
                <w:rFonts w:hint="eastAsia"/>
                <w:lang w:val="en-US" w:eastAsia="zh-CN"/>
              </w:rPr>
              <w:t>.</w:t>
            </w:r>
          </w:p>
          <w:p>
            <w:pPr>
              <w:pStyle w:val="6"/>
              <w:rPr>
                <w:b/>
                <w:bCs/>
              </w:rPr>
            </w:pPr>
            <w:r>
              <w:rPr>
                <w:rFonts w:hint="eastAsia"/>
                <w:b/>
                <w:bCs/>
              </w:rPr>
              <w:t>2.4.</w:t>
            </w:r>
            <w:r>
              <w:rPr>
                <w:rFonts w:hint="eastAsia"/>
                <w:b/>
                <w:bCs/>
                <w:lang w:val="en-US" w:eastAsia="zh-CN"/>
              </w:rPr>
              <w:t>6</w:t>
            </w:r>
            <w:r>
              <w:rPr>
                <w:rFonts w:hint="eastAsia"/>
                <w:b/>
                <w:bCs/>
              </w:rPr>
              <w:t>现有生产工艺流程</w:t>
            </w:r>
          </w:p>
          <w:p>
            <w:pPr>
              <w:ind w:firstLine="0"/>
              <w:rPr>
                <w:rFonts w:hint="eastAsia"/>
              </w:rPr>
            </w:pPr>
            <w:r>
              <w:rPr>
                <w:rFonts w:hint="eastAsia"/>
              </w:rPr>
              <w:t>项目第一阶段2C PACK生产线</w:t>
            </w:r>
            <w:r>
              <w:rPr>
                <w:rFonts w:hint="eastAsia"/>
                <w:lang w:val="en-US" w:eastAsia="zh-CN"/>
              </w:rPr>
              <w:t>不再实施，</w:t>
            </w:r>
            <w:r>
              <w:rPr>
                <w:rFonts w:hint="eastAsia"/>
              </w:rPr>
              <w:t>NMP精馏装置暂未建设，已建成电芯生产线、研发中试线、2B PACK生产线和储能集装箱生产线，各生产线工艺流程图</w:t>
            </w:r>
            <w:r>
              <w:rPr>
                <w:rFonts w:hint="eastAsia"/>
                <w:lang w:val="en-US" w:eastAsia="zh-CN"/>
              </w:rPr>
              <w:t>如下</w:t>
            </w:r>
            <w:r>
              <w:rPr>
                <w:rFonts w:hint="eastAsia"/>
              </w:rPr>
              <w:t>。</w:t>
            </w:r>
          </w:p>
          <w:p>
            <w:pPr>
              <w:ind w:firstLine="0"/>
              <w:rPr>
                <w:rFonts w:hint="eastAsia"/>
                <w:b/>
                <w:bCs/>
                <w:lang w:val="zh-CN"/>
              </w:rPr>
            </w:pPr>
            <w:r>
              <w:rPr>
                <w:rFonts w:hint="eastAsia"/>
                <w:b/>
                <w:bCs/>
                <w:lang w:val="en-US" w:eastAsia="zh-CN"/>
              </w:rPr>
              <w:t>1、</w:t>
            </w:r>
            <w:r>
              <w:rPr>
                <w:rFonts w:hint="eastAsia"/>
                <w:b/>
                <w:bCs/>
                <w:lang w:val="zh-CN"/>
              </w:rPr>
              <w:t>电芯、研发中试生产线工艺流程</w:t>
            </w:r>
          </w:p>
          <w:p>
            <w:pPr>
              <w:pStyle w:val="2"/>
            </w:pPr>
            <w:r>
              <w:rPr>
                <w:rFonts w:hint="eastAsia"/>
              </w:rPr>
              <w:t>电芯生产线、研发中试线工艺流程基本相同，合并介绍如下：</w:t>
            </w:r>
          </w:p>
          <w:p>
            <w:pPr>
              <w:spacing w:line="240" w:lineRule="auto"/>
              <w:ind w:firstLine="0" w:firstLineChars="0"/>
              <w:jc w:val="center"/>
              <w:rPr>
                <w:b/>
                <w:bCs/>
              </w:rPr>
            </w:pPr>
            <w:r>
              <w:drawing>
                <wp:inline distT="0" distB="0" distL="114300" distR="114300">
                  <wp:extent cx="3800475" cy="6705600"/>
                  <wp:effectExtent l="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20"/>
                          <a:stretch>
                            <a:fillRect/>
                          </a:stretch>
                        </pic:blipFill>
                        <pic:spPr>
                          <a:xfrm>
                            <a:off x="0" y="0"/>
                            <a:ext cx="3800475" cy="6705600"/>
                          </a:xfrm>
                          <a:prstGeom prst="rect">
                            <a:avLst/>
                          </a:prstGeom>
                          <a:noFill/>
                          <a:ln>
                            <a:noFill/>
                          </a:ln>
                        </pic:spPr>
                      </pic:pic>
                    </a:graphicData>
                  </a:graphic>
                </wp:inline>
              </w:drawing>
            </w:r>
          </w:p>
          <w:p>
            <w:pPr>
              <w:ind w:firstLine="0" w:firstLineChars="0"/>
              <w:jc w:val="center"/>
              <w:rPr>
                <w:b/>
                <w:bCs/>
              </w:rPr>
            </w:pPr>
            <w:r>
              <w:rPr>
                <w:rFonts w:hint="eastAsia"/>
                <w:b/>
                <w:bCs/>
              </w:rPr>
              <w:t>图2.4-1</w:t>
            </w:r>
            <w:r>
              <w:rPr>
                <w:rFonts w:hint="eastAsia"/>
                <w:b/>
                <w:bCs/>
                <w:lang w:val="en-US" w:eastAsia="zh-CN"/>
              </w:rPr>
              <w:t xml:space="preserve">  </w:t>
            </w:r>
            <w:r>
              <w:rPr>
                <w:rFonts w:hint="eastAsia"/>
                <w:b/>
                <w:bCs/>
              </w:rPr>
              <w:t>电芯生产工艺流程图</w:t>
            </w:r>
          </w:p>
          <w:p>
            <w:pPr>
              <w:ind w:firstLine="0"/>
              <w:rPr>
                <w:rFonts w:hint="eastAsia"/>
                <w:b/>
                <w:bCs/>
              </w:rPr>
            </w:pPr>
            <w:r>
              <w:rPr>
                <w:rFonts w:hint="eastAsia"/>
                <w:b/>
                <w:bCs/>
              </w:rPr>
              <w:t>电芯生产工艺流程简述：</w:t>
            </w:r>
          </w:p>
          <w:p>
            <w:pPr>
              <w:ind w:firstLine="0"/>
              <w:rPr>
                <w:rFonts w:hint="eastAsia"/>
                <w:b w:val="0"/>
                <w:bCs w:val="0"/>
              </w:rPr>
            </w:pPr>
            <w:r>
              <w:rPr>
                <w:rFonts w:hint="eastAsia"/>
                <w:b w:val="0"/>
                <w:bCs w:val="0"/>
              </w:rPr>
              <w:t>（1）投料：正极活性材料磷酸铁锂、导电剂、PVDF、勃姆石、负极石墨、CMC均为袋装粉料，由人工在密闭投料间内拆包，经负压上料装置输送至专门的料仓，经自动计量装置按配方称重后，再经密闭管道输送至混料仓。NMP、粘结剂SBR、纯水等液料或浆状物料，经由密闭管路直接输送至正极拌料机、陶瓷拌料机和负极拌料机内。</w:t>
            </w:r>
          </w:p>
          <w:p>
            <w:pPr>
              <w:ind w:firstLine="0"/>
              <w:rPr>
                <w:rFonts w:hint="eastAsia"/>
                <w:b w:val="0"/>
                <w:bCs w:val="0"/>
              </w:rPr>
            </w:pPr>
            <w:r>
              <w:rPr>
                <w:rFonts w:hint="eastAsia"/>
                <w:b w:val="0"/>
                <w:bCs w:val="0"/>
              </w:rPr>
              <w:t>加料过程有自动称重计量装置，输送过程为自动化，人工拆包和投料过程设置有滤芯回收装置对投料粉尘G1-1a和G1-1b进行收集处理，除尘装置采用滤芯作为过滤材料，为确保投料房间气压、温度、湿度控制稳定，采用除湿机回风系统控制房间内空气流通，因此投料粉尘经过滤处理后尾气回流至车间内，不设有组织排放口。整个过程中全自动数据库控制，无人员参与生产，同时物料不接触外界环境，最高程度的条件下保证了浆料一致性和均匀性。</w:t>
            </w:r>
          </w:p>
          <w:p>
            <w:pPr>
              <w:ind w:firstLine="0"/>
              <w:rPr>
                <w:rFonts w:hint="eastAsia"/>
                <w:b w:val="0"/>
                <w:bCs w:val="0"/>
              </w:rPr>
            </w:pPr>
            <w:r>
              <w:rPr>
                <w:rFonts w:hint="eastAsia"/>
                <w:b w:val="0"/>
                <w:bCs w:val="0"/>
              </w:rPr>
              <w:t>（2）制浆</w:t>
            </w:r>
          </w:p>
          <w:p>
            <w:pPr>
              <w:ind w:firstLine="0"/>
              <w:rPr>
                <w:rFonts w:hint="eastAsia"/>
                <w:b w:val="0"/>
                <w:bCs w:val="0"/>
              </w:rPr>
            </w:pPr>
            <w:r>
              <w:rPr>
                <w:rFonts w:hint="eastAsia"/>
                <w:b w:val="0"/>
                <w:bCs w:val="0"/>
              </w:rPr>
              <w:t>制浆主要包括正极制浆、陶瓷制浆、负极制浆，分别在独立的工段进行，整个过程中全自动数据库控制，人员不参与，同时不接触外界环境，最高程度的条件下保证了浆料一致性和均匀性。制浆分散搅拌过程均为物料机械混合过程，不改变原有物料化学物质结构，不发生化学反应。正负极搅拌分散机均采用夹套结构，夹层内通入冷热水控制料筒温度在常温条件下，搅拌过程中设备密闭并通过真空泵保持微负压。</w:t>
            </w:r>
          </w:p>
          <w:p>
            <w:pPr>
              <w:ind w:firstLine="0"/>
              <w:rPr>
                <w:rFonts w:hint="eastAsia"/>
                <w:b w:val="0"/>
                <w:bCs w:val="0"/>
              </w:rPr>
            </w:pPr>
            <w:r>
              <w:rPr>
                <w:rFonts w:hint="eastAsia"/>
                <w:b w:val="0"/>
                <w:bCs w:val="0"/>
              </w:rPr>
              <w:t>①正极制浆</w:t>
            </w:r>
          </w:p>
          <w:p>
            <w:pPr>
              <w:ind w:firstLine="0"/>
              <w:rPr>
                <w:rFonts w:hint="eastAsia"/>
                <w:b w:val="0"/>
                <w:bCs w:val="0"/>
              </w:rPr>
            </w:pPr>
            <w:r>
              <w:rPr>
                <w:rFonts w:hint="eastAsia"/>
                <w:b w:val="0"/>
                <w:bCs w:val="0"/>
              </w:rPr>
              <w:t>将正极活性材料磷酸铁锂、正极导电剂粉料经过高精度自动称重后密闭输送至混料仓混合均匀，然后通过重力作用进入密闭筛分过滤。将溶剂正极溶剂NMP、PVDF经高精度自动称重后加入正极拌料机内，30℃恒温搅拌2h左右，以使粘结剂充分溶胀、溶解，待呈糖状液体后即搅拌混合好。然后自动将磷酸铁锂、导电剂均匀分多次加入搅拌机中，每次间隔30min左右，同时进行搅拌混合，搅拌6～8h，待浆料充分混合均匀后开启搅拌系统真空设施，使设备内保持真空度为-0.09MPa去除浆料中的微小气泡，再搅拌30min左右即制成正极浆料，呈黑色粘稠状。</w:t>
            </w:r>
          </w:p>
          <w:p>
            <w:pPr>
              <w:ind w:firstLine="0"/>
              <w:rPr>
                <w:rFonts w:hint="eastAsia"/>
                <w:b w:val="0"/>
                <w:bCs w:val="0"/>
              </w:rPr>
            </w:pPr>
            <w:r>
              <w:rPr>
                <w:rFonts w:hint="eastAsia"/>
                <w:b w:val="0"/>
                <w:bCs w:val="0"/>
              </w:rPr>
              <w:t>②陶瓷制浆</w:t>
            </w:r>
          </w:p>
          <w:p>
            <w:pPr>
              <w:ind w:firstLine="0"/>
              <w:rPr>
                <w:rFonts w:hint="eastAsia"/>
                <w:b w:val="0"/>
                <w:bCs w:val="0"/>
              </w:rPr>
            </w:pPr>
            <w:r>
              <w:rPr>
                <w:rFonts w:hint="eastAsia"/>
                <w:b w:val="0"/>
                <w:bCs w:val="0"/>
              </w:rPr>
              <w:t>将勃姆石、NMP溶剂高精度自动称重后经料仓输送至陶瓷搅拌机内，搅拌完成后制成陶瓷浆料。NMP熔点-24.4℃，沸点203℃，气体密度3.4（相对空气1.0），常温下挥发性低，热稳定性好，且搅拌过程全密闭，温度控制在30℃左右，故搅拌过程中NMP挥发量可忽略不计。正极搅拌罐、陶瓷搅拌罐抽真空过程中会有极少量NMP（G1-2b）挥发，通过真空泵直接排放。</w:t>
            </w:r>
          </w:p>
          <w:p>
            <w:pPr>
              <w:ind w:firstLine="0"/>
              <w:rPr>
                <w:rFonts w:hint="eastAsia"/>
                <w:b w:val="0"/>
                <w:bCs w:val="0"/>
              </w:rPr>
            </w:pPr>
            <w:r>
              <w:rPr>
                <w:rFonts w:hint="eastAsia"/>
                <w:b w:val="0"/>
                <w:bCs w:val="0"/>
              </w:rPr>
              <w:t>③负极制浆</w:t>
            </w:r>
          </w:p>
          <w:p>
            <w:pPr>
              <w:bidi w:val="0"/>
              <w:rPr>
                <w:rFonts w:hint="eastAsia"/>
              </w:rPr>
            </w:pPr>
            <w:r>
              <w:rPr>
                <w:rFonts w:hint="eastAsia"/>
              </w:rPr>
              <w:t>负极浆料溶剂为纯水，石墨、负极导电剂、CMC为粉料。将溶剂纯水定量加入负极搅拌机内，然后将定量的CMC粉料一次性加入，保持30℃恒温并开始搅拌，搅拌1h左右，以使CMC粉料充分溶胀、溶解，待呈糖状液体后即搅拌混合好。然后再将定量的石墨、导电剂SP粉料加入搅拌机中，并进行搅拌，同时均匀分多次加入粘结剂丁苯乳胶(SBR)，搅拌时间6~8h，待浆料充分混合均匀后开启搅拌机真空设施，使搅拌机料筒内保持真空度为-0.09MPa至-0.10MPa去除浆料中的微小气泡，搅拌30min左右即制成负极浆料，呈黑色粘稠状。</w:t>
            </w:r>
          </w:p>
          <w:p>
            <w:pPr>
              <w:bidi w:val="0"/>
              <w:rPr>
                <w:rFonts w:hint="eastAsia"/>
              </w:rPr>
            </w:pPr>
            <w:r>
              <w:rPr>
                <w:rFonts w:hint="eastAsia"/>
              </w:rPr>
              <w:t>负极搅拌罐抽真空过程中会有极少量水蒸气（G1-2b）挥发，通过真空泵直接排放。搅拌罐、正负极中转罐定期清洗将会产生清洗废水（W1-1），涂布头清洗采用抹布擦拭，产生废抹布。</w:t>
            </w:r>
          </w:p>
          <w:p>
            <w:pPr>
              <w:bidi w:val="0"/>
              <w:rPr>
                <w:rFonts w:hint="eastAsia"/>
              </w:rPr>
            </w:pPr>
            <w:r>
              <w:rPr>
                <w:rFonts w:hint="eastAsia"/>
              </w:rPr>
              <w:t>（3）涂布、烘干</w:t>
            </w:r>
          </w:p>
          <w:p>
            <w:pPr>
              <w:bidi w:val="0"/>
              <w:rPr>
                <w:rFonts w:hint="eastAsia"/>
              </w:rPr>
            </w:pPr>
            <w:r>
              <w:rPr>
                <w:rFonts w:hint="eastAsia"/>
              </w:rPr>
              <w:t>将制备好的正极浆料、陶瓷浆料、负极浆料通过搅拌系统出料口放料，转移到在中转罐，涂布使用时通过气动泵料系统取料并加入涂布机模头中，通过加压和回流的方式使浆料通过刀口间隙并均匀的分布在传动集流体上（正极浆料、陶瓷浆料通过一个双通道刀口出料，刀口中间有隔膜，负极浆料通过单通道刀口直接出料）。涂敷的尺寸均设定好（正极集流体为铝箔，负极集流体为铜箔），浆料涂覆后再进行烘干，然后收卷。</w:t>
            </w:r>
          </w:p>
          <w:p>
            <w:pPr>
              <w:bidi w:val="0"/>
              <w:rPr>
                <w:rFonts w:hint="eastAsia"/>
              </w:rPr>
            </w:pPr>
            <w:r>
              <w:rPr>
                <w:rFonts w:hint="eastAsia"/>
              </w:rPr>
              <w:t>涂布机自身带有烘箱，采用高温蒸汽为热源间接加热空气，利用热风加热烘干极片，正极片烘干温度约为85～120℃，负极片烘干温度90~100℃，此温度能够保证溶剂NMP和水分99%挥发而其他物质不会分解或损失，全部留在集流体上成为正极和负极材料。</w:t>
            </w:r>
          </w:p>
          <w:p>
            <w:pPr>
              <w:bidi w:val="0"/>
              <w:rPr>
                <w:rFonts w:hint="eastAsia"/>
              </w:rPr>
            </w:pPr>
            <w:r>
              <w:rPr>
                <w:rFonts w:hint="eastAsia"/>
              </w:rPr>
              <w:t>①正极涂布过程挥发的少量NMP负压收集一并进入烘干工段废气总管，进入烘干工段后NMP基本全部挥发。正极涂布废气（G1-3a）经“余热回收+两级冷凝（冷却水+冷冻水）+转轮吸附”处理后，低浓度NMP废气经排气筒有组织排放，沸石转轮采用高温蒸汽间接加热脱附，高浓度脱附废气返回冷凝器液化。冷凝得到的NMP废液经管道泵至NMP废液储罐。</w:t>
            </w:r>
          </w:p>
          <w:p>
            <w:pPr>
              <w:bidi w:val="0"/>
              <w:rPr>
                <w:rFonts w:hint="eastAsia"/>
              </w:rPr>
            </w:pPr>
            <w:r>
              <w:rPr>
                <w:rFonts w:hint="eastAsia"/>
              </w:rPr>
              <w:t>②负极涂布固化干燥过程溶剂纯水基本全部蒸发，粘结剂SBR中少量游离的苯乙烯（约占SBR总用量的1‰）也将在此工序挥发。负极涂布废气（G1-3b）经“余热回收”处理后直接排放；正极和负极烘干机采用高温蒸汽作为热源，烘干过程会产生蒸汽冷凝水W1-2。</w:t>
            </w:r>
          </w:p>
          <w:p>
            <w:pPr>
              <w:bidi w:val="0"/>
              <w:rPr>
                <w:rFonts w:hint="eastAsia"/>
              </w:rPr>
            </w:pPr>
            <w:r>
              <w:rPr>
                <w:rFonts w:hint="eastAsia"/>
              </w:rPr>
              <w:t>（4）冷压、分条、分切</w:t>
            </w:r>
          </w:p>
          <w:p>
            <w:pPr>
              <w:bidi w:val="0"/>
              <w:rPr>
                <w:rFonts w:hint="eastAsia"/>
              </w:rPr>
            </w:pPr>
            <w:r>
              <w:rPr>
                <w:rFonts w:hint="eastAsia"/>
              </w:rPr>
              <w:t>冷压：经烘干后的正、负极集流体上涂满了正、负极材料混合物，需要通过辊压机压实，达到合适的密度和厚度，压延成片状，降低极片厚度。按照要求将极片预分切成相应的尺寸。这样在保证电池容积的同时，可以放入最大限度的电极材料，提高电池体积利用率。</w:t>
            </w:r>
          </w:p>
          <w:p>
            <w:pPr>
              <w:bidi w:val="0"/>
              <w:rPr>
                <w:rFonts w:hint="eastAsia"/>
              </w:rPr>
            </w:pPr>
            <w:r>
              <w:rPr>
                <w:rFonts w:hint="eastAsia"/>
              </w:rPr>
              <w:t>分条：利用激光切割对极片进行极耳裁切。</w:t>
            </w:r>
          </w:p>
          <w:p>
            <w:pPr>
              <w:bidi w:val="0"/>
              <w:rPr>
                <w:rFonts w:hint="eastAsia"/>
              </w:rPr>
            </w:pPr>
            <w:r>
              <w:rPr>
                <w:rFonts w:hint="eastAsia"/>
              </w:rPr>
              <w:t>分切：模切后的极片采用物理切割机从中间一分为二，形成单卷。</w:t>
            </w:r>
          </w:p>
          <w:p>
            <w:pPr>
              <w:bidi w:val="0"/>
              <w:rPr>
                <w:rFonts w:hint="eastAsia"/>
              </w:rPr>
            </w:pPr>
            <w:r>
              <w:rPr>
                <w:rFonts w:hint="eastAsia"/>
              </w:rPr>
              <w:t>分条、分切工序产生废铜箔、废铝箔、废极片（S1-1a、S1-1b）和切割粉尘（G1-4a、G1-4b），切割粉尘经除尘器处理后车间内排放。</w:t>
            </w:r>
          </w:p>
          <w:p>
            <w:pPr>
              <w:bidi w:val="0"/>
              <w:rPr>
                <w:rFonts w:hint="eastAsia"/>
              </w:rPr>
            </w:pPr>
            <w:r>
              <w:rPr>
                <w:rFonts w:hint="eastAsia"/>
              </w:rPr>
              <w:t>（</w:t>
            </w:r>
            <w:r>
              <w:rPr>
                <w:rFonts w:hint="eastAsia"/>
                <w:lang w:val="en-US" w:eastAsia="zh-CN"/>
              </w:rPr>
              <w:t>5</w:t>
            </w:r>
            <w:r>
              <w:rPr>
                <w:rFonts w:hint="eastAsia"/>
              </w:rPr>
              <w:t>）卷绕</w:t>
            </w:r>
          </w:p>
          <w:p>
            <w:pPr>
              <w:bidi w:val="0"/>
              <w:rPr>
                <w:rFonts w:hint="eastAsia"/>
              </w:rPr>
            </w:pPr>
            <w:r>
              <w:rPr>
                <w:rFonts w:hint="eastAsia"/>
              </w:rPr>
              <w:t>人工将分切好的正、负极片挂放在自动卷绕机的两端，极片之间用隔膜（聚丙烯和聚乙烯复合材料）隔开，通过卷绕机的中心卷针卷绕成形。其中内卷针夹紧，外面套两个三角形的外卷针，切过的正极片要贴尾胶（胶纸激光刻码），激光刻码仪按照设置参数对胶带进行腐蚀刻码，胶带的卷料工作台实现卷料胶带的开卷、提供刻码胶面区域、收卷的功能。此工序产生隔膜、胶带边角料S1-2。</w:t>
            </w:r>
          </w:p>
          <w:p>
            <w:pPr>
              <w:bidi w:val="0"/>
              <w:rPr>
                <w:rFonts w:hint="eastAsia"/>
              </w:rPr>
            </w:pPr>
            <w:r>
              <w:rPr>
                <w:rFonts w:hint="eastAsia"/>
              </w:rPr>
              <w:t>（</w:t>
            </w:r>
            <w:r>
              <w:rPr>
                <w:rFonts w:hint="eastAsia"/>
                <w:lang w:val="en-US" w:eastAsia="zh-CN"/>
              </w:rPr>
              <w:t>6</w:t>
            </w:r>
            <w:r>
              <w:rPr>
                <w:rFonts w:hint="eastAsia"/>
              </w:rPr>
              <w:t>）热压成型、Hi-pot、X-ray、配对</w:t>
            </w:r>
          </w:p>
          <w:p>
            <w:pPr>
              <w:bidi w:val="0"/>
              <w:rPr>
                <w:rFonts w:hint="eastAsia"/>
              </w:rPr>
            </w:pPr>
            <w:r>
              <w:rPr>
                <w:rFonts w:hint="eastAsia"/>
              </w:rPr>
              <w:t>将卷绕好的电池在预热炉（95℃）内实现升温（热源为电源），采用高温高压力对电芯整形，使得隔膜与阴阳极粘结在一起，避免极片松散滑落；经过热压（100℃）整形后，电芯更易入壳，电池外部缠绕耐高温胶带。</w:t>
            </w:r>
          </w:p>
          <w:p>
            <w:pPr>
              <w:bidi w:val="0"/>
              <w:rPr>
                <w:rFonts w:hint="eastAsia"/>
              </w:rPr>
            </w:pPr>
            <w:r>
              <w:rPr>
                <w:rFonts w:hint="eastAsia"/>
              </w:rPr>
              <w:t>Hi-pot：热压后采用高电压电源测试绝缘阻抗，将短路电芯挑出，此工序产生短路电芯S1-3。</w:t>
            </w:r>
          </w:p>
          <w:p>
            <w:pPr>
              <w:bidi w:val="0"/>
              <w:rPr>
                <w:rFonts w:hint="eastAsia"/>
              </w:rPr>
            </w:pPr>
            <w:r>
              <w:rPr>
                <w:rFonts w:hint="eastAsia"/>
              </w:rPr>
              <w:t>X-ray：通过X-ray发生器发出X射线，穿透电芯内部，由图像增强器接收X射线并成像和拍照，根据图判定电芯缺陷，挑出1#、2#、3#、4#角Overhang（负极极片长度和宽度方向多出正负极极片之外的部分）等。</w:t>
            </w:r>
          </w:p>
          <w:p>
            <w:pPr>
              <w:bidi w:val="0"/>
              <w:rPr>
                <w:rFonts w:hint="eastAsia"/>
              </w:rPr>
            </w:pPr>
            <w:r>
              <w:rPr>
                <w:rFonts w:hint="eastAsia"/>
              </w:rPr>
              <w:t>不合格电芯（S1-3），收集后在电芯拆解房直接拆解，然后委托资质单位处理；</w:t>
            </w:r>
          </w:p>
          <w:p>
            <w:pPr>
              <w:bidi w:val="0"/>
              <w:rPr>
                <w:rFonts w:hint="eastAsia"/>
              </w:rPr>
            </w:pPr>
            <w:r>
              <w:rPr>
                <w:rFonts w:hint="eastAsia"/>
              </w:rPr>
              <w:t>配对：将电芯配对、测厚、捆扎、称重，合适的电芯搭配到一起。</w:t>
            </w:r>
          </w:p>
          <w:p>
            <w:pPr>
              <w:bidi w:val="0"/>
              <w:rPr>
                <w:rFonts w:hint="eastAsia"/>
              </w:rPr>
            </w:pPr>
            <w:r>
              <w:rPr>
                <w:rFonts w:hint="eastAsia"/>
              </w:rPr>
              <w:t>（</w:t>
            </w:r>
            <w:r>
              <w:rPr>
                <w:rFonts w:hint="eastAsia"/>
                <w:lang w:val="en-US" w:eastAsia="zh-CN"/>
              </w:rPr>
              <w:t>7</w:t>
            </w:r>
            <w:r>
              <w:rPr>
                <w:rFonts w:hint="eastAsia"/>
              </w:rPr>
              <w:t>）转接片焊接：</w:t>
            </w:r>
          </w:p>
          <w:p>
            <w:pPr>
              <w:bidi w:val="0"/>
              <w:rPr>
                <w:rFonts w:hint="eastAsia"/>
              </w:rPr>
            </w:pPr>
            <w:r>
              <w:rPr>
                <w:rFonts w:hint="eastAsia"/>
              </w:rPr>
              <w:t>将卷绕好的电芯正负极耳采用超声波焊接的方式进行压合处理。分别将极耳焊接到的正、负极片的一端。项目电极焊接采用超声波焊接，超声波焊机不使用助剂，利用高频振动，将工件迅速熔接，使金属直接相连，因此无焊接烟尘产生。</w:t>
            </w:r>
          </w:p>
          <w:p>
            <w:pPr>
              <w:bidi w:val="0"/>
              <w:rPr>
                <w:rFonts w:hint="eastAsia"/>
              </w:rPr>
            </w:pPr>
            <w:r>
              <w:rPr>
                <w:rFonts w:hint="eastAsia"/>
              </w:rPr>
              <w:t>（</w:t>
            </w:r>
            <w:r>
              <w:rPr>
                <w:rFonts w:hint="eastAsia"/>
                <w:lang w:val="en-US" w:eastAsia="zh-CN"/>
              </w:rPr>
              <w:t>8</w:t>
            </w:r>
            <w:r>
              <w:rPr>
                <w:rFonts w:hint="eastAsia"/>
              </w:rPr>
              <w:t>）组装入壳</w:t>
            </w:r>
          </w:p>
          <w:p>
            <w:pPr>
              <w:bidi w:val="0"/>
              <w:rPr>
                <w:rFonts w:hint="eastAsia"/>
              </w:rPr>
            </w:pPr>
            <w:r>
              <w:rPr>
                <w:rFonts w:hint="eastAsia"/>
              </w:rPr>
              <w:t>将卷绕好的电芯与底托、电芯内保护膜组装好放入外购的铝制电池外壳中。</w:t>
            </w:r>
          </w:p>
          <w:p>
            <w:pPr>
              <w:bidi w:val="0"/>
              <w:rPr>
                <w:rFonts w:hint="eastAsia"/>
              </w:rPr>
            </w:pPr>
            <w:r>
              <w:rPr>
                <w:rFonts w:hint="eastAsia"/>
              </w:rPr>
              <w:t>（</w:t>
            </w:r>
            <w:r>
              <w:rPr>
                <w:rFonts w:hint="eastAsia"/>
                <w:lang w:val="en-US" w:eastAsia="zh-CN"/>
              </w:rPr>
              <w:t>9</w:t>
            </w:r>
            <w:r>
              <w:rPr>
                <w:rFonts w:hint="eastAsia"/>
              </w:rPr>
              <w:t>）顶盖焊接</w:t>
            </w:r>
          </w:p>
          <w:p>
            <w:pPr>
              <w:bidi w:val="0"/>
              <w:rPr>
                <w:rFonts w:hint="eastAsia"/>
              </w:rPr>
            </w:pPr>
            <w:r>
              <w:rPr>
                <w:rFonts w:hint="eastAsia"/>
              </w:rPr>
              <w:t>将入完壳的电池盖上顶盖，采用激光焊接方式进行焊接，此工序会产生焊接烟尘G1-5。</w:t>
            </w:r>
          </w:p>
          <w:p>
            <w:pPr>
              <w:bidi w:val="0"/>
              <w:rPr>
                <w:rFonts w:hint="eastAsia"/>
              </w:rPr>
            </w:pPr>
            <w:r>
              <w:rPr>
                <w:rFonts w:hint="eastAsia"/>
              </w:rPr>
              <w:t>（</w:t>
            </w:r>
            <w:r>
              <w:rPr>
                <w:rFonts w:hint="eastAsia"/>
                <w:lang w:val="en-US" w:eastAsia="zh-CN"/>
              </w:rPr>
              <w:t>10</w:t>
            </w:r>
            <w:r>
              <w:rPr>
                <w:rFonts w:hint="eastAsia"/>
              </w:rPr>
              <w:t>）检漏</w:t>
            </w:r>
          </w:p>
          <w:p>
            <w:pPr>
              <w:bidi w:val="0"/>
              <w:rPr>
                <w:rFonts w:hint="eastAsia"/>
              </w:rPr>
            </w:pPr>
            <w:r>
              <w:rPr>
                <w:rFonts w:hint="eastAsia"/>
              </w:rPr>
              <w:t>首先将电芯抽真空，随后充入氦气，电芯外面的真空箱与氦质谱检漏仪检测口相接。若电芯有漏，则漏入真空箱的氦气可通过氦质谱检漏仪测出。检漏采用氦气的原因：氦气具有无害、质量轻、无色、无臭、无活性、不可燃的特性，在空气环境中含量极少、穿透能力强，能穿透微小细缝，可以很好地检测密封性能。此工序会产生不合格品（S1-4），返回焊接工序重新焊接处理。</w:t>
            </w:r>
          </w:p>
          <w:p>
            <w:pPr>
              <w:bidi w:val="0"/>
              <w:rPr>
                <w:rFonts w:hint="eastAsia"/>
              </w:rPr>
            </w:pPr>
            <w:r>
              <w:rPr>
                <w:rFonts w:hint="eastAsia"/>
              </w:rPr>
              <w:t>（</w:t>
            </w:r>
            <w:r>
              <w:rPr>
                <w:rFonts w:hint="eastAsia"/>
                <w:lang w:val="en-US" w:eastAsia="zh-CN"/>
              </w:rPr>
              <w:t>11</w:t>
            </w:r>
            <w:r>
              <w:rPr>
                <w:rFonts w:hint="eastAsia"/>
              </w:rPr>
              <w:t>）烘烤</w:t>
            </w:r>
          </w:p>
          <w:p>
            <w:pPr>
              <w:bidi w:val="0"/>
              <w:rPr>
                <w:rFonts w:hint="eastAsia"/>
              </w:rPr>
            </w:pPr>
            <w:r>
              <w:rPr>
                <w:rFonts w:hint="eastAsia"/>
              </w:rPr>
              <w:t>将电芯雏形放入电热真空烘箱内，通入氮气，通过高温（100℃）将电芯内阴、阳极极片的中残留的微量水分以及NMP蒸发，持续抽真空将电芯产生的废气及时抽走，直至电芯完全干燥。此工序产生烘烤废气（G1-6）。</w:t>
            </w:r>
          </w:p>
          <w:p>
            <w:pPr>
              <w:bidi w:val="0"/>
              <w:rPr>
                <w:rFonts w:hint="eastAsia"/>
              </w:rPr>
            </w:pPr>
            <w:r>
              <w:rPr>
                <w:rFonts w:hint="eastAsia"/>
              </w:rPr>
              <w:t>（</w:t>
            </w:r>
            <w:r>
              <w:rPr>
                <w:rFonts w:hint="eastAsia"/>
                <w:lang w:val="en-US" w:eastAsia="zh-CN"/>
              </w:rPr>
              <w:t>12</w:t>
            </w:r>
            <w:r>
              <w:rPr>
                <w:rFonts w:hint="eastAsia"/>
              </w:rPr>
              <w:t>）一次注液</w:t>
            </w:r>
          </w:p>
          <w:p>
            <w:pPr>
              <w:bidi w:val="0"/>
              <w:rPr>
                <w:rFonts w:hint="eastAsia"/>
              </w:rPr>
            </w:pPr>
            <w:r>
              <w:rPr>
                <w:rFonts w:hint="eastAsia"/>
              </w:rPr>
              <w:t>将烘干好的电芯放到注液系统密闭的注液模块内，通入氮气进行保护，先采用真空泵将电芯抽真空，然后插入化成钉，再将电解液从密闭的电解液桶中抽出，通过密闭管道定量注入电芯，电解液是锂离子通道，保证电池在化成过程中有足够的锂离子在正负极往返对电芯进行激活。随后在45℃条件下静置24-48h，完成电芯的浸润。整个注液过程均在密闭且隔绝空气的条件下进行，注液后在一体机内直接预封。该工序会产生一次注液废气（G1-7）。</w:t>
            </w:r>
          </w:p>
          <w:p>
            <w:pPr>
              <w:bidi w:val="0"/>
              <w:rPr>
                <w:rFonts w:hint="eastAsia"/>
              </w:rPr>
            </w:pPr>
            <w:r>
              <w:rPr>
                <w:rFonts w:hint="eastAsia"/>
              </w:rPr>
              <w:t>（1</w:t>
            </w:r>
            <w:r>
              <w:rPr>
                <w:rFonts w:hint="eastAsia"/>
                <w:lang w:val="en-US" w:eastAsia="zh-CN"/>
              </w:rPr>
              <w:t>3</w:t>
            </w:r>
            <w:r>
              <w:rPr>
                <w:rFonts w:hint="eastAsia"/>
              </w:rPr>
              <w:t>）化成</w:t>
            </w:r>
          </w:p>
          <w:p>
            <w:pPr>
              <w:bidi w:val="0"/>
              <w:rPr>
                <w:rFonts w:hint="eastAsia"/>
              </w:rPr>
            </w:pPr>
            <w:r>
              <w:rPr>
                <w:rFonts w:hint="eastAsia"/>
              </w:rPr>
              <w:t>拔掉化成钉，将产品放入化成柜进行充电，化成柜为真空负压状态，化成后电芯继续在45℃条件下静置24-48h，完成电芯的进一步浸润。</w:t>
            </w:r>
          </w:p>
          <w:p>
            <w:pPr>
              <w:bidi w:val="0"/>
              <w:rPr>
                <w:rFonts w:hint="eastAsia"/>
              </w:rPr>
            </w:pPr>
            <w:r>
              <w:rPr>
                <w:rFonts w:hint="eastAsia"/>
              </w:rPr>
              <w:t>化成目的是：①激活电解液中的活性物质；②形成稳定的SEI膜，保证电芯的电化学性能；③使电池在首次充电中，完成电化学反应的产气过程，以便除去产生的废气，确保电池密封后不至于再产生更多的气体，从而影响电池安全性能和外观尺寸；④排除内短路电芯。此工序会产生化成废气（G1-8）。废短路电芯（S1-5）收集后送入安全实验室拆解，剩余的铝箔、铜箔残留物外售。</w:t>
            </w:r>
          </w:p>
          <w:p>
            <w:pPr>
              <w:bidi w:val="0"/>
              <w:rPr>
                <w:rFonts w:hint="eastAsia"/>
              </w:rPr>
            </w:pPr>
            <w:r>
              <w:rPr>
                <w:rFonts w:hint="eastAsia"/>
              </w:rPr>
              <w:t>（1</w:t>
            </w:r>
            <w:r>
              <w:rPr>
                <w:rFonts w:hint="eastAsia"/>
                <w:lang w:val="en-US" w:eastAsia="zh-CN"/>
              </w:rPr>
              <w:t>4</w:t>
            </w:r>
            <w:r>
              <w:rPr>
                <w:rFonts w:hint="eastAsia"/>
              </w:rPr>
              <w:t>）二次注液</w:t>
            </w:r>
          </w:p>
          <w:p>
            <w:pPr>
              <w:bidi w:val="0"/>
              <w:rPr>
                <w:rFonts w:hint="eastAsia"/>
              </w:rPr>
            </w:pPr>
            <w:r>
              <w:rPr>
                <w:rFonts w:hint="eastAsia"/>
              </w:rPr>
              <w:t>化成后对电芯冷却后二次加注电解液，使电芯内充满电解液，注液工序的设备及处理措施与第一次注液一致。该工序会产生二次注液废气G1-9。</w:t>
            </w:r>
          </w:p>
          <w:p>
            <w:pPr>
              <w:bidi w:val="0"/>
              <w:rPr>
                <w:rFonts w:hint="eastAsia"/>
              </w:rPr>
            </w:pPr>
            <w:r>
              <w:rPr>
                <w:rFonts w:hint="eastAsia"/>
              </w:rPr>
              <w:t>（1</w:t>
            </w:r>
            <w:r>
              <w:rPr>
                <w:rFonts w:hint="eastAsia"/>
                <w:lang w:val="en-US" w:eastAsia="zh-CN"/>
              </w:rPr>
              <w:t>5</w:t>
            </w:r>
            <w:r>
              <w:rPr>
                <w:rFonts w:hint="eastAsia"/>
              </w:rPr>
              <w:t>）密封钉焊接及氦检</w:t>
            </w:r>
          </w:p>
          <w:p>
            <w:pPr>
              <w:bidi w:val="0"/>
              <w:rPr>
                <w:rFonts w:hint="eastAsia"/>
              </w:rPr>
            </w:pPr>
            <w:r>
              <w:rPr>
                <w:rFonts w:hint="eastAsia"/>
              </w:rPr>
              <w:t>将已完成注液的电芯进行激光焊接密封钉，保证电芯内部电解液不泄漏。本工序通过高速密封钉焊接，使用连续激光器，激光器产生激光束，通过聚焦系统聚焦在焊件上，通过光能转化为热能，使金属熔化形成焊接接头。同时通过氦检检测密封钉焊密封性，此工序产生焊接烟尘（G1-10），密封性不好的电芯返回焊接工序重新焊接直至通过检测。</w:t>
            </w:r>
          </w:p>
          <w:p>
            <w:pPr>
              <w:bidi w:val="0"/>
              <w:rPr>
                <w:rFonts w:hint="eastAsia"/>
              </w:rPr>
            </w:pPr>
            <w:r>
              <w:rPr>
                <w:rFonts w:hint="eastAsia"/>
              </w:rPr>
              <w:t>（16）等离子清洗</w:t>
            </w:r>
          </w:p>
          <w:p>
            <w:pPr>
              <w:bidi w:val="0"/>
              <w:rPr>
                <w:rFonts w:hint="eastAsia" w:eastAsia="宋体"/>
                <w:lang w:eastAsia="zh-CN"/>
              </w:rPr>
            </w:pPr>
            <w:r>
              <w:rPr>
                <w:rFonts w:hint="eastAsia"/>
              </w:rPr>
              <w:t>通过等离子清洗机对锂电池表面进行清洁，主要清洁电芯表面电解液、粉尘等污物，确保电芯达到表面洁净度要求。此工序产生等离子清洗废气G1-11，车间内无组织排放。</w:t>
            </w:r>
          </w:p>
          <w:p>
            <w:pPr>
              <w:bidi w:val="0"/>
              <w:rPr>
                <w:rFonts w:hint="eastAsia"/>
              </w:rPr>
            </w:pPr>
            <w:r>
              <w:rPr>
                <w:rFonts w:hint="eastAsia"/>
              </w:rPr>
              <w:t>（17）分容、静置、OCV</w:t>
            </w:r>
          </w:p>
          <w:p>
            <w:pPr>
              <w:bidi w:val="0"/>
              <w:rPr>
                <w:rFonts w:hint="eastAsia"/>
              </w:rPr>
            </w:pPr>
            <w:r>
              <w:rPr>
                <w:rFonts w:hint="eastAsia"/>
              </w:rPr>
              <w:t>电芯进行10%分容，电芯在分容柜内经充、放电约8h。放电是指充满电的电池自动放完电，电芯分容柜根据放电量的多少自动记录下各电池的容量。将电芯在预定的老化处理温度环境下静置一段时间，通过存储过程的电压变化（OCV）来判断挑出内部存在微短路缺陷的短路、低电压电芯。此工序会产生不合格电芯（S1-6），其中无法达到使用要求的电芯充满电后送至拆解房的自燃柜处理，部分微短路、低电压电芯在不影响使用的情况下降级外售处理。</w:t>
            </w:r>
          </w:p>
          <w:p>
            <w:pPr>
              <w:bidi w:val="0"/>
              <w:rPr>
                <w:rFonts w:hint="eastAsia"/>
              </w:rPr>
            </w:pPr>
            <w:r>
              <w:rPr>
                <w:rFonts w:hint="eastAsia"/>
              </w:rPr>
              <w:t>（18）分容、补电</w:t>
            </w:r>
          </w:p>
          <w:p>
            <w:pPr>
              <w:bidi w:val="0"/>
              <w:rPr>
                <w:rFonts w:hint="eastAsia"/>
              </w:rPr>
            </w:pPr>
            <w:r>
              <w:rPr>
                <w:rFonts w:hint="eastAsia"/>
              </w:rPr>
              <w:t>电芯进行10%分容，电芯经多次充、放电约8h。放电是指充满电的电池自动放完电，分容柜根据放电量的多少自动记录下各电池的容量，最后一次充电是将各电池再充一部分电以达到出货状态。</w:t>
            </w:r>
          </w:p>
          <w:p>
            <w:pPr>
              <w:bidi w:val="0"/>
              <w:rPr>
                <w:rFonts w:hint="eastAsia"/>
              </w:rPr>
            </w:pPr>
            <w:r>
              <w:rPr>
                <w:rFonts w:hint="eastAsia"/>
              </w:rPr>
              <w:t>（19）检测、分选</w:t>
            </w:r>
          </w:p>
          <w:p>
            <w:pPr>
              <w:bidi w:val="0"/>
              <w:rPr>
                <w:rFonts w:hint="eastAsia"/>
              </w:rPr>
            </w:pPr>
            <w:r>
              <w:rPr>
                <w:rFonts w:hint="eastAsia"/>
              </w:rPr>
              <w:t>对电池进行检测，挑出内阻不良品，抽检部分电池厚度、宽度、电池肩高与极柱高度及电池的绝缘性，确保电芯整体厚度达标。根据分容数据对分选电芯按照容量、电压、内阻的规格进行分档。此工序会产生轻微不合格电芯（S1-7），在不影响使用的情况下降级外售处理。</w:t>
            </w:r>
          </w:p>
          <w:p>
            <w:pPr>
              <w:bidi w:val="0"/>
              <w:rPr>
                <w:rFonts w:hint="eastAsia"/>
              </w:rPr>
            </w:pPr>
            <w:r>
              <w:rPr>
                <w:rFonts w:hint="eastAsia"/>
              </w:rPr>
              <w:t>（20）包装</w:t>
            </w:r>
          </w:p>
          <w:p>
            <w:pPr>
              <w:bidi w:val="0"/>
              <w:rPr>
                <w:rFonts w:hint="eastAsia"/>
              </w:rPr>
            </w:pPr>
            <w:r>
              <w:rPr>
                <w:rFonts w:hint="eastAsia"/>
              </w:rPr>
              <w:t>将电芯贴膜、折边、贴绝缘片、包装好后放入仓库待售。此工序会产生包装废料（S1-8）。</w:t>
            </w: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eastAsia="宋体"/>
                <w:b/>
                <w:bCs/>
                <w:lang w:val="en-US" w:eastAsia="zh-CN"/>
              </w:rPr>
            </w:pPr>
            <w:r>
              <w:rPr>
                <w:rFonts w:hint="eastAsia"/>
                <w:b/>
                <w:bCs/>
                <w:lang w:val="en-US" w:eastAsia="zh-CN"/>
              </w:rPr>
              <w:t>2、2B 模组PACK生产工艺</w:t>
            </w:r>
          </w:p>
          <w:p>
            <w:pPr>
              <w:bidi w:val="0"/>
              <w:spacing w:line="240" w:lineRule="auto"/>
              <w:ind w:left="0" w:leftChars="0" w:firstLine="0" w:firstLineChars="0"/>
              <w:rPr>
                <w:rFonts w:hint="eastAsia"/>
              </w:rPr>
            </w:pPr>
            <w:r>
              <w:drawing>
                <wp:inline distT="0" distB="0" distL="114300" distR="114300">
                  <wp:extent cx="5012055" cy="7059930"/>
                  <wp:effectExtent l="0" t="0" r="1905" b="1143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21"/>
                          <a:stretch>
                            <a:fillRect/>
                          </a:stretch>
                        </pic:blipFill>
                        <pic:spPr>
                          <a:xfrm>
                            <a:off x="0" y="0"/>
                            <a:ext cx="5012055" cy="7059930"/>
                          </a:xfrm>
                          <a:prstGeom prst="rect">
                            <a:avLst/>
                          </a:prstGeom>
                          <a:noFill/>
                          <a:ln>
                            <a:noFill/>
                          </a:ln>
                        </pic:spPr>
                      </pic:pic>
                    </a:graphicData>
                  </a:graphic>
                </wp:inline>
              </w:drawing>
            </w:r>
          </w:p>
          <w:p>
            <w:pPr>
              <w:ind w:firstLine="0" w:firstLineChars="0"/>
              <w:jc w:val="center"/>
              <w:rPr>
                <w:b/>
                <w:bCs/>
              </w:rPr>
            </w:pPr>
            <w:r>
              <w:rPr>
                <w:rFonts w:hint="eastAsia"/>
                <w:b/>
                <w:bCs/>
              </w:rPr>
              <w:t>图2.4-</w:t>
            </w:r>
            <w:r>
              <w:rPr>
                <w:rFonts w:hint="eastAsia"/>
                <w:b/>
                <w:bCs/>
                <w:lang w:val="en-US" w:eastAsia="zh-CN"/>
              </w:rPr>
              <w:t>2  2B 模组PACK</w:t>
            </w:r>
            <w:r>
              <w:rPr>
                <w:rFonts w:hint="eastAsia"/>
                <w:b/>
                <w:bCs/>
              </w:rPr>
              <w:t>生产工艺流程图</w:t>
            </w:r>
          </w:p>
          <w:p>
            <w:pPr>
              <w:bidi w:val="0"/>
              <w:rPr>
                <w:rFonts w:hint="eastAsia"/>
                <w:b/>
                <w:bCs/>
              </w:rPr>
            </w:pPr>
            <w:r>
              <w:rPr>
                <w:rFonts w:hint="eastAsia"/>
                <w:b/>
                <w:bCs/>
              </w:rPr>
              <w:t>生产工艺流程简述：</w:t>
            </w:r>
          </w:p>
          <w:p>
            <w:pPr>
              <w:bidi w:val="0"/>
              <w:rPr>
                <w:rFonts w:hint="eastAsia"/>
              </w:rPr>
            </w:pPr>
            <w:r>
              <w:rPr>
                <w:rFonts w:hint="eastAsia"/>
              </w:rPr>
              <w:t>2B模组PACK生产线包括模组工段和PACK工段，模组工段主要是将单体锂电芯组装为电池模组，PACK工段主要是将电池模组打包安装为成品，4个模组组装为1个PACK，该PACK全部用于储能集装箱生产。</w:t>
            </w:r>
          </w:p>
          <w:p>
            <w:pPr>
              <w:bidi w:val="0"/>
              <w:rPr>
                <w:rFonts w:hint="eastAsia"/>
                <w:b/>
                <w:bCs/>
              </w:rPr>
            </w:pPr>
            <w:r>
              <w:rPr>
                <w:rFonts w:hint="eastAsia"/>
                <w:b/>
                <w:bCs/>
              </w:rPr>
              <w:t>以下为模组工段：</w:t>
            </w:r>
          </w:p>
          <w:p>
            <w:pPr>
              <w:bidi w:val="0"/>
              <w:rPr>
                <w:rFonts w:hint="eastAsia"/>
              </w:rPr>
            </w:pPr>
            <w:r>
              <w:rPr>
                <w:rFonts w:hint="eastAsia"/>
              </w:rPr>
              <w:t>电芯上料：将电芯放入料框，然后料框通过流水线送至上料机械手处，机械手抓取电芯放置到电芯测试机台。</w:t>
            </w:r>
          </w:p>
          <w:p>
            <w:pPr>
              <w:bidi w:val="0"/>
              <w:rPr>
                <w:rFonts w:hint="eastAsia"/>
              </w:rPr>
            </w:pPr>
            <w:r>
              <w:rPr>
                <w:rFonts w:hint="eastAsia"/>
              </w:rPr>
              <w:t>电芯分选：电芯测试机台上的电芯通过平移传输，将电芯传送至测试工位，进行电压和内阻测试，然后搬运机器人将测试合格的电芯搬运至电芯贴胶机台，此工序产生不合格电芯S3-1。</w:t>
            </w:r>
          </w:p>
          <w:p>
            <w:pPr>
              <w:bidi w:val="0"/>
              <w:rPr>
                <w:rFonts w:hint="eastAsia"/>
              </w:rPr>
            </w:pPr>
            <w:r>
              <w:rPr>
                <w:rFonts w:hint="eastAsia"/>
              </w:rPr>
              <w:t>等离子清洗：采用等离子清洗机清理电芯表面沾染的有机物，提高电芯表面粘合性能。等离子清洗机工作原理为高压电流电离气体，产生等离子体对工件表面进行清洗，等离子体通常会在被清洁的表面上留下自由基，以进一步增加该表面的粘合性。该工序产生等离子清洗废气G3-1。</w:t>
            </w:r>
          </w:p>
          <w:p>
            <w:pPr>
              <w:bidi w:val="0"/>
              <w:rPr>
                <w:rFonts w:hint="eastAsia"/>
              </w:rPr>
            </w:pPr>
            <w:r>
              <w:rPr>
                <w:rFonts w:hint="eastAsia"/>
              </w:rPr>
              <w:t>贴双面胶：搬运过来的电芯通过平移传输，将电芯传送至人工贴胶工位进行贴胶，然后传送至电芯上面放隔板工位，再传输至出料平台，等待堆叠机器人抓取，此工序产生废胶纸S3-2。</w:t>
            </w:r>
          </w:p>
          <w:p>
            <w:pPr>
              <w:bidi w:val="0"/>
              <w:rPr>
                <w:rFonts w:hint="eastAsia"/>
              </w:rPr>
            </w:pPr>
            <w:r>
              <w:rPr>
                <w:rFonts w:hint="eastAsia"/>
              </w:rPr>
              <w:t>电芯堆叠：堆叠机器人依次抓取电芯完成模组堆叠。</w:t>
            </w:r>
          </w:p>
          <w:p>
            <w:pPr>
              <w:bidi w:val="0"/>
              <w:rPr>
                <w:rFonts w:hint="eastAsia"/>
              </w:rPr>
            </w:pPr>
            <w:r>
              <w:rPr>
                <w:rFonts w:hint="eastAsia"/>
              </w:rPr>
              <w:t>端板、绝缘板组装：端板、绝缘板经人工检查没有问题后，贴双面胶，此工序产生废胶纸S3-2。</w:t>
            </w:r>
          </w:p>
          <w:p>
            <w:pPr>
              <w:bidi w:val="0"/>
              <w:rPr>
                <w:rFonts w:hint="eastAsia"/>
              </w:rPr>
            </w:pPr>
            <w:r>
              <w:rPr>
                <w:rFonts w:hint="eastAsia"/>
              </w:rPr>
              <w:t>模组成型：将端板和绝缘板组装至模组。</w:t>
            </w:r>
          </w:p>
          <w:p>
            <w:pPr>
              <w:bidi w:val="0"/>
              <w:rPr>
                <w:rFonts w:hint="eastAsia"/>
              </w:rPr>
            </w:pPr>
            <w:r>
              <w:rPr>
                <w:rFonts w:hint="eastAsia"/>
              </w:rPr>
              <w:t>测试：对模组进行绝缘和耐压测试，此工序产生的不合格电芯直接下线，集中返工处理。</w:t>
            </w:r>
          </w:p>
          <w:p>
            <w:pPr>
              <w:bidi w:val="0"/>
              <w:rPr>
                <w:rFonts w:hint="eastAsia"/>
              </w:rPr>
            </w:pPr>
            <w:r>
              <w:rPr>
                <w:rFonts w:hint="eastAsia"/>
              </w:rPr>
              <w:t>极柱寻址、清洁：模组流入电芯极柱拍照工位，进行电芯定位、绑定以及极柱极性检测，极柱拍照完成后，流入极柱清洁工位，进行极柱表面激光清洗，激光清洗是通过光学系统对激光光束进行聚焦和整形获得高能量的激光束，并使之照射到待清洗的部位，利用激光去除清洗工件表面附着物的过程。（清洗时，激光束被待清洗物体表面上的物质吸收通过光作用或热作用破坏污染物和基底之间的结合键，以光剥离、气化、烧蚀等作用过程，使污染物脱离物体表面，达到清洁的目的，而待清洗物并不受损伤或损伤程度在可以接受的较低范围内），此工序产生激光清洁废气G3-2。</w:t>
            </w:r>
          </w:p>
          <w:p>
            <w:pPr>
              <w:bidi w:val="0"/>
              <w:rPr>
                <w:rFonts w:hint="eastAsia"/>
              </w:rPr>
            </w:pPr>
            <w:r>
              <w:rPr>
                <w:rFonts w:hint="eastAsia"/>
              </w:rPr>
              <w:t>激光焊接、焊后清洁：极柱清洁完成后，极柱上放置铝制汇流排，然后进入激光焊接工位，由激光进行铝排的焊接，激光焊接技术属于熔融焊接，以激光束为能源，使其冲击在焊件接头上，使焊件材料熔融后粘固为一体以达到焊接目的。焊接完成后人工采用吸尘器清洁焊接表面残留的焊渣，此工序产生激光焊接废气G3-3。</w:t>
            </w:r>
          </w:p>
          <w:p>
            <w:pPr>
              <w:bidi w:val="0"/>
              <w:rPr>
                <w:rFonts w:hint="eastAsia"/>
              </w:rPr>
            </w:pPr>
            <w:r>
              <w:rPr>
                <w:rFonts w:hint="eastAsia"/>
              </w:rPr>
              <w:t>测试：焊接完成后采用1级相机检测、2级人工检查焊接点强度，不合格的工件返回焊接工序，合格的工件进行绝缘和耐压测试，不合格工件下线集中返修。</w:t>
            </w:r>
          </w:p>
          <w:p>
            <w:pPr>
              <w:bidi w:val="0"/>
              <w:rPr>
                <w:rFonts w:hint="eastAsia"/>
              </w:rPr>
            </w:pPr>
            <w:r>
              <w:rPr>
                <w:rFonts w:hint="eastAsia"/>
              </w:rPr>
              <w:t>模组附件安装：由人工铺设隔离片、安装倒钩型螺钉、粘贴模组条码。</w:t>
            </w:r>
          </w:p>
          <w:p>
            <w:pPr>
              <w:bidi w:val="0"/>
              <w:rPr>
                <w:rFonts w:hint="eastAsia"/>
              </w:rPr>
            </w:pPr>
            <w:r>
              <w:rPr>
                <w:rFonts w:hint="eastAsia"/>
              </w:rPr>
              <w:t>模组下线、缓存：对模组进行模组通讯测试，看电芯电压是否正常，经检验合格后的模组下线缓存。</w:t>
            </w:r>
          </w:p>
          <w:p>
            <w:pPr>
              <w:bidi w:val="0"/>
              <w:rPr>
                <w:rFonts w:hint="eastAsia"/>
                <w:b/>
                <w:bCs/>
              </w:rPr>
            </w:pPr>
            <w:r>
              <w:rPr>
                <w:rFonts w:hint="eastAsia"/>
                <w:b/>
                <w:bCs/>
              </w:rPr>
              <w:t>以下为 2BPACK工段：</w:t>
            </w:r>
          </w:p>
          <w:p>
            <w:pPr>
              <w:bidi w:val="0"/>
              <w:rPr>
                <w:rFonts w:hint="eastAsia"/>
              </w:rPr>
            </w:pPr>
            <w:r>
              <w:rPr>
                <w:rFonts w:hint="eastAsia"/>
              </w:rPr>
              <w:t>下壳体上线：人工将铝制下壳体搬运上流水线，用吸尘器清理表面，粘贴条码。</w:t>
            </w:r>
          </w:p>
          <w:p>
            <w:pPr>
              <w:bidi w:val="0"/>
              <w:rPr>
                <w:rFonts w:hint="eastAsia"/>
              </w:rPr>
            </w:pPr>
            <w:r>
              <w:rPr>
                <w:rFonts w:hint="eastAsia"/>
              </w:rPr>
              <w:t>下壳体涂胶：由自动化涂胶机将导热结构胶的A/B两种组分密闭混合后，涂布到下壳体上，该工序会产生少量涂胶废气G3-4。</w:t>
            </w:r>
          </w:p>
          <w:p>
            <w:pPr>
              <w:bidi w:val="0"/>
              <w:rPr>
                <w:rFonts w:hint="eastAsia"/>
              </w:rPr>
            </w:pPr>
            <w:r>
              <w:rPr>
                <w:rFonts w:hint="eastAsia"/>
              </w:rPr>
              <w:t>模组入箱：将底部绝缘片安装到箱体内，由人工使用吊具将模组放入箱体内固定。</w:t>
            </w:r>
          </w:p>
          <w:p>
            <w:pPr>
              <w:bidi w:val="0"/>
              <w:rPr>
                <w:rFonts w:hint="eastAsia"/>
              </w:rPr>
            </w:pPr>
            <w:r>
              <w:rPr>
                <w:rFonts w:hint="eastAsia"/>
              </w:rPr>
              <w:t>加压固定：使用螺栓将模组拧紧在箱体。</w:t>
            </w:r>
          </w:p>
          <w:p>
            <w:pPr>
              <w:bidi w:val="0"/>
              <w:rPr>
                <w:rFonts w:hint="eastAsia"/>
              </w:rPr>
            </w:pPr>
            <w:r>
              <w:rPr>
                <w:rFonts w:hint="eastAsia"/>
              </w:rPr>
              <w:t>面板分装：人工安装铜排、高压连接器、MSD底座、低压连接器、消防连接器、消防探测器到电气面板。</w:t>
            </w:r>
          </w:p>
          <w:p>
            <w:pPr>
              <w:bidi w:val="0"/>
              <w:rPr>
                <w:rFonts w:hint="eastAsia"/>
              </w:rPr>
            </w:pPr>
            <w:r>
              <w:rPr>
                <w:rFonts w:hint="eastAsia"/>
              </w:rPr>
              <w:t>封箱：由人工将面板、铜排、PACK附件、上盖、密封垫等零部件安装到位。</w:t>
            </w:r>
          </w:p>
          <w:p>
            <w:pPr>
              <w:bidi w:val="0"/>
              <w:rPr>
                <w:rFonts w:hint="eastAsia"/>
              </w:rPr>
            </w:pPr>
            <w:r>
              <w:rPr>
                <w:rFonts w:hint="eastAsia"/>
              </w:rPr>
              <w:t>检验测试：对PACK进行绝缘、耐压测试、充放电测试等，检查没有问题后进入下道工序，安装防尘盖。</w:t>
            </w:r>
          </w:p>
          <w:p>
            <w:pPr>
              <w:bidi w:val="0"/>
            </w:pPr>
            <w:r>
              <w:rPr>
                <w:rFonts w:hint="eastAsia"/>
              </w:rPr>
              <w:t>打包：由人工将PACK打包装箱，最终成为2B模组PACK产品。</w:t>
            </w:r>
          </w:p>
          <w:p>
            <w:pPr>
              <w:bidi w:val="0"/>
              <w:rPr>
                <w:rFonts w:hint="eastAsia" w:eastAsia="宋体"/>
                <w:b/>
                <w:bCs/>
                <w:lang w:val="en-US" w:eastAsia="zh-CN"/>
              </w:rPr>
            </w:pPr>
            <w:r>
              <w:rPr>
                <w:rFonts w:hint="eastAsia"/>
                <w:b/>
                <w:bCs/>
                <w:lang w:val="en-US" w:eastAsia="zh-CN"/>
              </w:rPr>
              <w:t>3、储能集装箱生产工艺</w:t>
            </w:r>
          </w:p>
          <w:p>
            <w:pPr>
              <w:bidi w:val="0"/>
              <w:spacing w:line="240" w:lineRule="auto"/>
              <w:ind w:left="0" w:leftChars="0" w:firstLine="0" w:firstLineChars="0"/>
              <w:jc w:val="center"/>
            </w:pPr>
            <w:r>
              <w:drawing>
                <wp:inline distT="0" distB="0" distL="114300" distR="114300">
                  <wp:extent cx="4661535" cy="3180715"/>
                  <wp:effectExtent l="0" t="0" r="5715" b="635"/>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pic:cNvPicPr>
                        </pic:nvPicPr>
                        <pic:blipFill>
                          <a:blip r:embed="rId22"/>
                          <a:stretch>
                            <a:fillRect/>
                          </a:stretch>
                        </pic:blipFill>
                        <pic:spPr>
                          <a:xfrm>
                            <a:off x="0" y="0"/>
                            <a:ext cx="4661535" cy="3180715"/>
                          </a:xfrm>
                          <a:prstGeom prst="rect">
                            <a:avLst/>
                          </a:prstGeom>
                          <a:noFill/>
                          <a:ln>
                            <a:noFill/>
                          </a:ln>
                        </pic:spPr>
                      </pic:pic>
                    </a:graphicData>
                  </a:graphic>
                </wp:inline>
              </w:drawing>
            </w:r>
          </w:p>
          <w:p>
            <w:pPr>
              <w:bidi w:val="0"/>
              <w:ind w:left="0" w:leftChars="0" w:firstLine="0" w:firstLineChars="0"/>
              <w:jc w:val="center"/>
            </w:pPr>
            <w:r>
              <w:rPr>
                <w:rFonts w:hint="eastAsia"/>
                <w:b/>
                <w:bCs/>
              </w:rPr>
              <w:t>图2.4-</w:t>
            </w:r>
            <w:r>
              <w:rPr>
                <w:rFonts w:hint="eastAsia"/>
                <w:b/>
                <w:bCs/>
                <w:lang w:val="en-US" w:eastAsia="zh-CN"/>
              </w:rPr>
              <w:t>3  储能集装箱</w:t>
            </w:r>
            <w:r>
              <w:rPr>
                <w:rFonts w:hint="eastAsia"/>
                <w:b/>
                <w:bCs/>
              </w:rPr>
              <w:t>生产工艺流程图</w:t>
            </w:r>
          </w:p>
          <w:p>
            <w:pPr>
              <w:bidi w:val="0"/>
              <w:rPr>
                <w:rFonts w:hint="eastAsia"/>
                <w:b/>
                <w:bCs/>
              </w:rPr>
            </w:pPr>
            <w:r>
              <w:rPr>
                <w:rFonts w:hint="eastAsia"/>
                <w:b/>
                <w:bCs/>
              </w:rPr>
              <w:t>生产工艺流程简述：</w:t>
            </w:r>
          </w:p>
          <w:p>
            <w:pPr>
              <w:numPr>
                <w:ilvl w:val="0"/>
                <w:numId w:val="2"/>
              </w:numPr>
              <w:bidi w:val="0"/>
              <w:rPr>
                <w:rFonts w:hint="eastAsia"/>
              </w:rPr>
            </w:pPr>
            <w:r>
              <w:rPr>
                <w:rFonts w:hint="eastAsia"/>
              </w:rPr>
              <w:t>PCS组装：将外购的壳体分别与风扇、风扇、散热器、电感、PCB、贴片、插件、IGBT功率板组装，然后再组装上线束和上盖，经过测试后即为PCS组件。</w:t>
            </w:r>
          </w:p>
          <w:p>
            <w:pPr>
              <w:numPr>
                <w:ilvl w:val="0"/>
                <w:numId w:val="2"/>
              </w:numPr>
              <w:bidi w:val="0"/>
            </w:pPr>
            <w:r>
              <w:rPr>
                <w:rFonts w:hint="eastAsia"/>
              </w:rPr>
              <w:t>系统组装</w:t>
            </w:r>
          </w:p>
          <w:p>
            <w:pPr>
              <w:numPr>
                <w:ilvl w:val="0"/>
                <w:numId w:val="0"/>
              </w:numPr>
              <w:bidi w:val="0"/>
              <w:ind w:firstLine="420" w:firstLineChars="200"/>
            </w:pPr>
            <w:r>
              <w:rPr>
                <w:rFonts w:hint="eastAsia"/>
              </w:rPr>
              <w:t>将2B生产线的模组装入集装空箱体，再进行不锈钢管、消防管道、外协件、电池左/右层架、配电汇流框架、线束组装。管道和外协件固定采用螺栓，门板密封采用硅胶防水密封圈，线束的固定采用捆扎带，组装完成后形成储能集装箱。此过程会产生噪声、废线束、废材料（S4-1），收集后外售资源化利用。</w:t>
            </w:r>
          </w:p>
          <w:p>
            <w:pPr>
              <w:numPr>
                <w:ilvl w:val="0"/>
                <w:numId w:val="2"/>
              </w:numPr>
              <w:bidi w:val="0"/>
            </w:pPr>
            <w:r>
              <w:rPr>
                <w:rFonts w:hint="eastAsia"/>
              </w:rPr>
              <w:t>注液</w:t>
            </w:r>
          </w:p>
          <w:p>
            <w:pPr>
              <w:numPr>
                <w:ilvl w:val="0"/>
                <w:numId w:val="0"/>
              </w:numPr>
              <w:bidi w:val="0"/>
              <w:ind w:firstLine="420" w:firstLineChars="200"/>
              <w:rPr>
                <w:rFonts w:hint="eastAsia"/>
              </w:rPr>
            </w:pPr>
            <w:r>
              <w:rPr>
                <w:rFonts w:hint="eastAsia"/>
              </w:rPr>
              <w:t>项目注液工序使用注液泵抽取冷却液（乙二醇）进行加注，加注至规定体积（约500L）后停止加注，加注冷却液过程为密闭空间，会挤排出原有管内空气，从排气阀挤出。此过程不产生有机废气，会产生废冷却液桶S4-2。</w:t>
            </w:r>
          </w:p>
          <w:p>
            <w:pPr>
              <w:numPr>
                <w:ilvl w:val="0"/>
                <w:numId w:val="2"/>
              </w:numPr>
              <w:bidi w:val="0"/>
              <w:ind w:left="0" w:leftChars="0" w:firstLine="420" w:firstLineChars="200"/>
              <w:rPr>
                <w:rFonts w:hint="eastAsia"/>
              </w:rPr>
            </w:pPr>
            <w:r>
              <w:rPr>
                <w:rFonts w:hint="eastAsia"/>
              </w:rPr>
              <w:t>测试：将储能集装箱按耐压、绝缘、老化、淋雨步骤依次进行测试，此过程会产生淋雨测试废水W4-1。由于第一阶段暂不进行淋雨测试，现阶段不产生淋雨测试废水。</w:t>
            </w:r>
          </w:p>
          <w:p>
            <w:pPr>
              <w:numPr>
                <w:ilvl w:val="0"/>
                <w:numId w:val="2"/>
              </w:numPr>
              <w:bidi w:val="0"/>
              <w:ind w:left="0" w:leftChars="0" w:firstLine="420" w:firstLineChars="200"/>
            </w:pPr>
            <w:r>
              <w:rPr>
                <w:rFonts w:hint="eastAsia"/>
              </w:rPr>
              <w:t>打包、入库</w:t>
            </w:r>
          </w:p>
          <w:p>
            <w:pPr>
              <w:numPr>
                <w:ilvl w:val="0"/>
                <w:numId w:val="0"/>
              </w:numPr>
              <w:bidi w:val="0"/>
              <w:ind w:left="0" w:leftChars="0" w:firstLine="420" w:firstLineChars="200"/>
            </w:pPr>
            <w:r>
              <w:rPr>
                <w:rFonts w:hint="eastAsia"/>
              </w:rPr>
              <w:t>使用拉伸膜对储能集装箱进行打包，完成打包后入库。此过程会产生废包装材料S4-3。</w:t>
            </w: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b/>
                <w:bCs/>
                <w:lang w:val="en-US" w:eastAsia="zh-CN"/>
              </w:rPr>
            </w:pPr>
          </w:p>
          <w:p>
            <w:pPr>
              <w:bidi w:val="0"/>
              <w:rPr>
                <w:rFonts w:hint="eastAsia" w:eastAsia="宋体"/>
                <w:lang w:val="en-US" w:eastAsia="zh-CN"/>
              </w:rPr>
            </w:pPr>
            <w:r>
              <w:rPr>
                <w:rFonts w:hint="eastAsia"/>
                <w:b/>
                <w:bCs/>
                <w:lang w:val="en-US" w:eastAsia="zh-CN"/>
              </w:rPr>
              <w:t>4、NMP精馏工艺（尚未实施）</w:t>
            </w:r>
          </w:p>
          <w:p>
            <w:pPr>
              <w:bidi w:val="0"/>
              <w:spacing w:line="240" w:lineRule="auto"/>
              <w:ind w:left="0" w:leftChars="0" w:firstLine="0" w:firstLineChars="0"/>
            </w:pPr>
            <w:r>
              <w:drawing>
                <wp:inline distT="0" distB="0" distL="114300" distR="114300">
                  <wp:extent cx="5034280" cy="4932045"/>
                  <wp:effectExtent l="0" t="0" r="10160" b="5715"/>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pic:cNvPicPr>
                        </pic:nvPicPr>
                        <pic:blipFill>
                          <a:blip r:embed="rId23"/>
                          <a:stretch>
                            <a:fillRect/>
                          </a:stretch>
                        </pic:blipFill>
                        <pic:spPr>
                          <a:xfrm>
                            <a:off x="0" y="0"/>
                            <a:ext cx="5034280" cy="4932045"/>
                          </a:xfrm>
                          <a:prstGeom prst="rect">
                            <a:avLst/>
                          </a:prstGeom>
                          <a:noFill/>
                          <a:ln>
                            <a:noFill/>
                          </a:ln>
                        </pic:spPr>
                      </pic:pic>
                    </a:graphicData>
                  </a:graphic>
                </wp:inline>
              </w:drawing>
            </w:r>
          </w:p>
          <w:p>
            <w:pPr>
              <w:bidi w:val="0"/>
              <w:ind w:left="0" w:leftChars="0" w:firstLine="0" w:firstLineChars="0"/>
              <w:jc w:val="center"/>
              <w:rPr>
                <w:b/>
                <w:bCs/>
              </w:rPr>
            </w:pPr>
            <w:r>
              <w:rPr>
                <w:rFonts w:hint="eastAsia"/>
                <w:b/>
                <w:bCs/>
              </w:rPr>
              <w:t>图2.4-</w:t>
            </w:r>
            <w:r>
              <w:rPr>
                <w:rFonts w:hint="eastAsia"/>
                <w:b/>
                <w:bCs/>
                <w:lang w:val="en-US" w:eastAsia="zh-CN"/>
              </w:rPr>
              <w:t>4</w:t>
            </w:r>
            <w:r>
              <w:rPr>
                <w:rFonts w:hint="eastAsia"/>
                <w:b/>
                <w:bCs/>
              </w:rPr>
              <w:t xml:space="preserve">  NMP精馏生产工艺流程图</w:t>
            </w:r>
          </w:p>
          <w:p>
            <w:pPr>
              <w:bidi w:val="0"/>
              <w:rPr>
                <w:rFonts w:hint="eastAsia"/>
              </w:rPr>
            </w:pPr>
            <w:r>
              <w:rPr>
                <w:rFonts w:hint="eastAsia"/>
              </w:rPr>
              <w:t>工艺流程简述：</w:t>
            </w:r>
          </w:p>
          <w:p>
            <w:pPr>
              <w:bidi w:val="0"/>
              <w:rPr>
                <w:rFonts w:hint="eastAsia"/>
              </w:rPr>
            </w:pPr>
            <w:r>
              <w:rPr>
                <w:rFonts w:hint="eastAsia"/>
              </w:rPr>
              <w:t>（1）一次脱水：NMP废液经废液缓存罐泵入一次脱水塔，塔釜物料经换热器加热，热源来自高温蒸汽，控制塔顶温度40~50℃，塔底温度145℃左右，塔底物料进入中间缓冲罐。塔顶上升气体经循环水冷凝器冷却，进入回流罐，回流罐冷凝水一部分由调节阀调节回流量回流至第一脱水塔塔内，一部分进入废水罐，工艺过程产生冷凝废水和不凝气，主要成分为NMP及水蒸气。</w:t>
            </w:r>
          </w:p>
          <w:p>
            <w:pPr>
              <w:bidi w:val="0"/>
              <w:rPr>
                <w:rFonts w:hint="eastAsia"/>
              </w:rPr>
            </w:pPr>
            <w:r>
              <w:rPr>
                <w:rFonts w:hint="eastAsia"/>
              </w:rPr>
              <w:t>（2）二次脱水：</w:t>
            </w:r>
          </w:p>
          <w:p>
            <w:pPr>
              <w:bidi w:val="0"/>
              <w:rPr>
                <w:rFonts w:hint="eastAsia"/>
              </w:rPr>
            </w:pPr>
            <w:r>
              <w:rPr>
                <w:rFonts w:hint="eastAsia"/>
              </w:rPr>
              <w:t>中间缓冲罐物料经泵由调节阀调节流量进入第二脱水塔，利用塔釜再沸器加热塔釜物料使其汽化，塔顶温度为130℃左右，塔底温度145℃左右。塔顶上升的气体由塔顶循环水冷凝器冷凝至40℃左右，进入回流罐，经调节阀调节流量一部分回流至塔内，其余部分经泵均匀输送打入第一脱水塔进料口，输送流量小于100kg/h，以免影响第一脱水塔稳定，第二脱水塔底部物料流入底部缓冲罐。工艺过程产生冷凝废水和不凝气，主要为NMP。</w:t>
            </w:r>
          </w:p>
          <w:p>
            <w:pPr>
              <w:bidi w:val="0"/>
              <w:rPr>
                <w:rFonts w:hint="eastAsia"/>
              </w:rPr>
            </w:pPr>
            <w:r>
              <w:rPr>
                <w:rFonts w:hint="eastAsia"/>
              </w:rPr>
              <w:t>（3）成品精馏</w:t>
            </w:r>
          </w:p>
          <w:p>
            <w:pPr>
              <w:bidi w:val="0"/>
              <w:rPr>
                <w:rFonts w:hint="eastAsia"/>
              </w:rPr>
            </w:pPr>
            <w:r>
              <w:rPr>
                <w:rFonts w:hint="eastAsia"/>
              </w:rPr>
              <w:t>底部缓冲罐物料经泵输送至NMP成品塔内，由调节阀调节流量，利用塔釜再沸器经导热油加热塔釜物料使其汽化，塔顶温度控制在140℃，塔底温度185℃左右，塔顶上升的气体经冷凝器冷却至液相常温成品至回流罐，回流罐一部分物料经调节阀控制回流量，回流至塔内，其他物料均进入成品罐，经泵输送进入NMP罐区贮罐中。工艺过程产生冷凝不凝气，主要为NMP。</w:t>
            </w:r>
          </w:p>
          <w:p>
            <w:pPr>
              <w:bidi w:val="0"/>
              <w:rPr>
                <w:rFonts w:hint="eastAsia"/>
              </w:rPr>
            </w:pPr>
            <w:r>
              <w:rPr>
                <w:rFonts w:hint="eastAsia"/>
              </w:rPr>
              <w:t>（4）脱重</w:t>
            </w:r>
          </w:p>
          <w:p>
            <w:pPr>
              <w:bidi w:val="0"/>
            </w:pPr>
            <w:r>
              <w:rPr>
                <w:rFonts w:hint="eastAsia"/>
              </w:rPr>
              <w:t>成品塔塔底重组分物料经泵输送至脱重塔内。通过塔釜内导热油夹套加热，使重组分中NMP挥发通过冷凝器冷凝后，一部分回流至塔内，其余部分一部分引入缓冲罐经泵打入第一脱水塔进行回收利用。脱重塔内真空度控制在-0.09kg/cm2，塔内温度小于160℃，塔顶回流比1.5kg/h。脱重塔塔釜定期取出残黑液，工艺过程产生冷凝不凝气，主要为NMP。</w:t>
            </w:r>
          </w:p>
          <w:p>
            <w:pPr>
              <w:pStyle w:val="6"/>
              <w:rPr>
                <w:b/>
                <w:bCs/>
              </w:rPr>
            </w:pPr>
            <w:r>
              <w:rPr>
                <w:rFonts w:hint="eastAsia"/>
                <w:b/>
                <w:bCs/>
              </w:rPr>
              <w:t>2.4.</w:t>
            </w:r>
            <w:r>
              <w:rPr>
                <w:rFonts w:hint="eastAsia"/>
                <w:b/>
                <w:bCs/>
                <w:lang w:val="en-US" w:eastAsia="zh-CN"/>
              </w:rPr>
              <w:t>7</w:t>
            </w:r>
            <w:r>
              <w:rPr>
                <w:rFonts w:hint="eastAsia"/>
                <w:b/>
                <w:bCs/>
              </w:rPr>
              <w:t>现有项目环保治理设施及达标情况</w:t>
            </w:r>
          </w:p>
          <w:p>
            <w:pPr>
              <w:numPr>
                <w:ilvl w:val="0"/>
                <w:numId w:val="3"/>
              </w:numPr>
              <w:ind w:firstLine="420"/>
              <w:rPr>
                <w:b/>
                <w:bCs/>
              </w:rPr>
            </w:pPr>
            <w:r>
              <w:rPr>
                <w:rFonts w:hint="eastAsia"/>
                <w:b/>
                <w:bCs/>
              </w:rPr>
              <w:t>废水</w:t>
            </w:r>
          </w:p>
          <w:p>
            <w:pPr>
              <w:ind w:firstLine="420"/>
              <w:rPr>
                <w:rFonts w:hint="eastAsia"/>
              </w:rPr>
            </w:pPr>
            <w:r>
              <w:rPr>
                <w:rFonts w:hint="eastAsia"/>
              </w:rPr>
              <w:t>项目第一阶段NMP精馏工艺暂未建设，储能集装箱暂不进行淋雨测试，无NMP精馏装置冷凝废水、淋雨测试废水，故第一阶段废水主要为正极和负极设备清洗废水、车间地面清洗废水、蒸汽冷凝水、除湿机、空调机组冷凝水、碱喷淋塔废水、冰水站废水、纯水制备废水、循环冷却塔废水、实验室废水、初期雨水及员工生活废水，项目第一阶段废水污染源污染物排放情况详见表</w:t>
            </w:r>
            <w:r>
              <w:rPr>
                <w:rFonts w:hint="eastAsia"/>
                <w:lang w:val="en-US" w:eastAsia="zh-CN"/>
              </w:rPr>
              <w:t>2.4-6</w:t>
            </w:r>
            <w:r>
              <w:rPr>
                <w:rFonts w:hint="eastAsia"/>
              </w:rPr>
              <w:t>。</w:t>
            </w:r>
          </w:p>
          <w:p>
            <w:pPr>
              <w:ind w:firstLine="420"/>
              <w:rPr>
                <w:rFonts w:hint="eastAsia"/>
                <w:lang w:val="en-US" w:eastAsia="zh-CN"/>
              </w:rPr>
            </w:pPr>
            <w:r>
              <w:rPr>
                <w:rFonts w:hint="eastAsia"/>
              </w:rPr>
              <w:t>项目污水处理站设计总处理能力为</w:t>
            </w:r>
            <w:r>
              <w:rPr>
                <w:rFonts w:hint="eastAsia"/>
                <w:lang w:val="en-US" w:eastAsia="zh-CN"/>
              </w:rPr>
              <w:t>489</w:t>
            </w:r>
            <w:r>
              <w:rPr>
                <w:rFonts w:hint="eastAsia"/>
              </w:rPr>
              <w:t>m</w:t>
            </w:r>
            <w:r>
              <w:rPr>
                <w:rFonts w:hint="eastAsia"/>
                <w:vertAlign w:val="superscript"/>
              </w:rPr>
              <w:t>3</w:t>
            </w:r>
            <w:r>
              <w:rPr>
                <w:rFonts w:hint="eastAsia"/>
              </w:rPr>
              <w:t>/d。废水处理工艺见图2.4</w:t>
            </w:r>
            <w:r>
              <w:rPr>
                <w:rFonts w:hint="eastAsia"/>
                <w:lang w:val="en-US" w:eastAsia="zh-CN"/>
              </w:rPr>
              <w:t>-5。</w:t>
            </w:r>
          </w:p>
          <w:p>
            <w:pPr>
              <w:bidi w:val="0"/>
              <w:ind w:left="0" w:leftChars="0" w:firstLine="0" w:firstLineChars="0"/>
              <w:jc w:val="center"/>
              <w:rPr>
                <w:rFonts w:hint="default"/>
                <w:lang w:val="en-US" w:eastAsia="zh-CN"/>
              </w:rPr>
            </w:pPr>
            <w:r>
              <w:rPr>
                <w:rFonts w:hint="eastAsia"/>
                <w:b/>
                <w:bCs/>
                <w:lang w:val="en-US" w:eastAsia="zh-CN"/>
              </w:rPr>
              <w:t>表2.4-6  废水污染源污染物排放情况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67"/>
              <w:gridCol w:w="1251"/>
              <w:gridCol w:w="3383"/>
              <w:gridCol w:w="524"/>
              <w:gridCol w:w="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污染源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产生工序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主要污染物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环评要求处理方式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实际处理方式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排放去向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正极、负极设备清洗废水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电芯生产线以及研发中试生产线的正极和负极配料罐、中转罐清洗</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、SS、氨氮、总氮、总磷</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正极、负极清洗废水和车间地面清洗废水经车间旁的三级沉淀池将废水中所含的生产原料沉淀分离后，通过生产废水管网泵入污水处理站，经“格栅+调节+混凝反应+沉淀”预处理后进入综合调节池，再经“厌氧+A/O+二沉池”处理后纳管排放</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与环评一致</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处理后纳入市政污水管网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车间地面清洗废水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正负极车间地面清洁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、SS、氨氮、总氮、总磷</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蒸汽冷凝废水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电芯烘干线、研发中试烘干线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蒸汽冷凝水收集至降温池冷却至常温后，用于循环冷却系统补水，多余部分排入污水站处理后纳管排放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处理后纳入市政污水管网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除湿机、空调机组冷凝水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除湿机、空调机组</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SS</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用于循环冷却塔补水，不外排</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碱喷淋塔废水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碱喷淋装置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进入污水站经“格栅+调节+气浮”预处理后进综合调节池，再经“厌氧+A/O+二沉池”处理后纳管排放</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与环评一致</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处理后纳入市政污水管网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冰水站废水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冰水站冷水机组冰水更换</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SS</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纯水制备废水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纯水制备机组浓水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循环冷却塔废水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冷却水更换</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、SS、氨氮、总氮、总磷</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实验室废水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实验室设备、器皿清洗，实验人员清洗等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、氨氮</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初期雨水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、SS、氨氮、总氮、总磷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初期雨水经事故应急池收集后排入污水站，经处理达标后纳入市政污水管网</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处理后纳入市政污水管网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生活废水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员工生活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COD</w:t>
                  </w:r>
                  <w:r>
                    <w:rPr>
                      <w:rFonts w:hint="eastAsia"/>
                      <w:sz w:val="18"/>
                      <w:szCs w:val="18"/>
                      <w:vertAlign w:val="subscript"/>
                      <w:lang w:val="en-US" w:eastAsia="zh-CN"/>
                    </w:rPr>
                    <w:t>Cr</w:t>
                  </w:r>
                  <w:r>
                    <w:rPr>
                      <w:rFonts w:hint="eastAsia"/>
                      <w:sz w:val="18"/>
                      <w:szCs w:val="18"/>
                      <w:vertAlign w:val="baseline"/>
                      <w:lang w:val="en-US" w:eastAsia="zh-CN"/>
                    </w:rPr>
                    <w:t>、氨氮、总氮、总磷、动植物油类</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经化粪池预处理后排入污水站处理</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处理后纳入市政污水管网</w:t>
                  </w:r>
                </w:p>
              </w:tc>
            </w:tr>
          </w:tbl>
          <w:p>
            <w:pPr>
              <w:bidi w:val="0"/>
              <w:spacing w:line="240" w:lineRule="auto"/>
              <w:ind w:left="0" w:leftChars="0" w:firstLine="0" w:firstLineChars="0"/>
              <w:rPr>
                <w:rFonts w:hint="eastAsia"/>
                <w:lang w:val="en-US" w:eastAsia="zh-CN"/>
              </w:rPr>
            </w:pPr>
            <w:r>
              <w:drawing>
                <wp:inline distT="0" distB="0" distL="114300" distR="114300">
                  <wp:extent cx="5045075" cy="4832350"/>
                  <wp:effectExtent l="0" t="0" r="14605" b="13970"/>
                  <wp:docPr id="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pic:cNvPicPr>
                            <a:picLocks noChangeAspect="1"/>
                          </pic:cNvPicPr>
                        </pic:nvPicPr>
                        <pic:blipFill>
                          <a:blip r:embed="rId24"/>
                          <a:stretch>
                            <a:fillRect/>
                          </a:stretch>
                        </pic:blipFill>
                        <pic:spPr>
                          <a:xfrm>
                            <a:off x="0" y="0"/>
                            <a:ext cx="5045075" cy="4832350"/>
                          </a:xfrm>
                          <a:prstGeom prst="rect">
                            <a:avLst/>
                          </a:prstGeom>
                          <a:noFill/>
                          <a:ln>
                            <a:noFill/>
                          </a:ln>
                        </pic:spPr>
                      </pic:pic>
                    </a:graphicData>
                  </a:graphic>
                </wp:inline>
              </w:drawing>
            </w:r>
          </w:p>
          <w:p>
            <w:pPr>
              <w:spacing w:line="240" w:lineRule="auto"/>
              <w:ind w:firstLine="0" w:firstLineChars="0"/>
              <w:jc w:val="center"/>
              <w:rPr>
                <w:rFonts w:hint="eastAsia"/>
                <w:b/>
                <w:sz w:val="21"/>
                <w:szCs w:val="21"/>
              </w:rPr>
            </w:pPr>
            <w:r>
              <w:rPr>
                <w:rFonts w:hint="eastAsia"/>
                <w:b/>
                <w:sz w:val="21"/>
                <w:szCs w:val="21"/>
              </w:rPr>
              <w:t>图2.4.</w:t>
            </w:r>
            <w:r>
              <w:rPr>
                <w:rFonts w:hint="eastAsia"/>
                <w:b/>
                <w:sz w:val="21"/>
                <w:szCs w:val="21"/>
                <w:lang w:val="en-US" w:eastAsia="zh-CN"/>
              </w:rPr>
              <w:t>5</w:t>
            </w:r>
            <w:r>
              <w:rPr>
                <w:rFonts w:hint="eastAsia"/>
                <w:b/>
                <w:sz w:val="21"/>
                <w:szCs w:val="21"/>
              </w:rPr>
              <w:t>废水处理工艺流程图</w:t>
            </w:r>
          </w:p>
          <w:p>
            <w:pPr>
              <w:bidi w:val="0"/>
              <w:rPr>
                <w:rFonts w:hint="eastAsia"/>
                <w:lang w:eastAsia="zh-CN"/>
              </w:rPr>
            </w:pPr>
            <w:r>
              <w:rPr>
                <w:rFonts w:hint="eastAsia"/>
              </w:rPr>
              <w:t>为了解企业</w:t>
            </w:r>
            <w:r>
              <w:rPr>
                <w:rFonts w:hint="eastAsia"/>
                <w:lang w:val="en-US" w:eastAsia="zh-CN"/>
              </w:rPr>
              <w:t>废水</w:t>
            </w:r>
            <w:r>
              <w:rPr>
                <w:rFonts w:hint="eastAsia"/>
              </w:rPr>
              <w:t>的达标情况，本环评引用</w:t>
            </w:r>
            <w:r>
              <w:rPr>
                <w:rFonts w:hint="eastAsia"/>
                <w:lang w:val="en-US" w:eastAsia="zh-CN"/>
              </w:rPr>
              <w:t>企业2024年11月《浙江晶科储能有限公司晶科储能年产12GWh系统与12GWh电池项目（第一阶段）竣工环境保护验收监测报告表》中</w:t>
            </w:r>
            <w:r>
              <w:rPr>
                <w:rFonts w:hint="eastAsia"/>
              </w:rPr>
              <w:t>的</w:t>
            </w:r>
            <w:r>
              <w:rPr>
                <w:rFonts w:hint="eastAsia"/>
                <w:lang w:val="en-US" w:eastAsia="zh-CN"/>
              </w:rPr>
              <w:t>废水</w:t>
            </w:r>
            <w:r>
              <w:rPr>
                <w:rFonts w:hint="eastAsia"/>
              </w:rPr>
              <w:t>监测数据</w:t>
            </w:r>
            <w:r>
              <w:rPr>
                <w:rFonts w:hint="eastAsia"/>
                <w:lang w:eastAsia="zh-CN"/>
              </w:rPr>
              <w:t>：</w:t>
            </w:r>
          </w:p>
          <w:p>
            <w:pPr>
              <w:bidi w:val="0"/>
              <w:ind w:left="0" w:leftChars="0" w:firstLine="0" w:firstLineChars="0"/>
              <w:jc w:val="center"/>
              <w:rPr>
                <w:rFonts w:hint="default"/>
                <w:b/>
                <w:bCs/>
                <w:lang w:val="en-US" w:eastAsia="zh-CN"/>
              </w:rPr>
            </w:pPr>
            <w:r>
              <w:rPr>
                <w:rFonts w:hint="eastAsia"/>
                <w:b/>
                <w:bCs/>
                <w:lang w:val="en-US" w:eastAsia="zh-CN"/>
              </w:rPr>
              <w:t>表2.4-7  企业废水监测数据</w:t>
            </w:r>
          </w:p>
          <w:p>
            <w:pPr>
              <w:bidi w:val="0"/>
              <w:spacing w:line="240" w:lineRule="auto"/>
              <w:ind w:left="0" w:leftChars="0" w:firstLine="0" w:firstLineChars="0"/>
              <w:rPr>
                <w:rFonts w:hint="eastAsia"/>
              </w:rPr>
            </w:pPr>
            <w:r>
              <w:drawing>
                <wp:inline distT="0" distB="0" distL="114300" distR="114300">
                  <wp:extent cx="5076190" cy="2408555"/>
                  <wp:effectExtent l="0" t="0" r="13970" b="14605"/>
                  <wp:docPr id="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pic:cNvPicPr>
                            <a:picLocks noChangeAspect="1"/>
                          </pic:cNvPicPr>
                        </pic:nvPicPr>
                        <pic:blipFill>
                          <a:blip r:embed="rId25"/>
                          <a:stretch>
                            <a:fillRect/>
                          </a:stretch>
                        </pic:blipFill>
                        <pic:spPr>
                          <a:xfrm>
                            <a:off x="0" y="0"/>
                            <a:ext cx="5076190" cy="2408555"/>
                          </a:xfrm>
                          <a:prstGeom prst="rect">
                            <a:avLst/>
                          </a:prstGeom>
                          <a:noFill/>
                          <a:ln>
                            <a:noFill/>
                          </a:ln>
                        </pic:spPr>
                      </pic:pic>
                    </a:graphicData>
                  </a:graphic>
                </wp:inline>
              </w:drawing>
            </w:r>
            <w:r>
              <w:drawing>
                <wp:inline distT="0" distB="0" distL="114300" distR="114300">
                  <wp:extent cx="5075555" cy="3016885"/>
                  <wp:effectExtent l="0" t="0" r="14605" b="635"/>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26"/>
                          <a:stretch>
                            <a:fillRect/>
                          </a:stretch>
                        </pic:blipFill>
                        <pic:spPr>
                          <a:xfrm>
                            <a:off x="0" y="0"/>
                            <a:ext cx="5075555" cy="3016885"/>
                          </a:xfrm>
                          <a:prstGeom prst="rect">
                            <a:avLst/>
                          </a:prstGeom>
                          <a:noFill/>
                          <a:ln>
                            <a:noFill/>
                          </a:ln>
                        </pic:spPr>
                      </pic:pic>
                    </a:graphicData>
                  </a:graphic>
                </wp:inline>
              </w:drawing>
            </w:r>
            <w:r>
              <w:drawing>
                <wp:inline distT="0" distB="0" distL="114300" distR="114300">
                  <wp:extent cx="5076825" cy="2981325"/>
                  <wp:effectExtent l="0" t="0" r="13335" b="5715"/>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pic:cNvPicPr>
                            <a:picLocks noChangeAspect="1"/>
                          </pic:cNvPicPr>
                        </pic:nvPicPr>
                        <pic:blipFill>
                          <a:blip r:embed="rId27"/>
                          <a:stretch>
                            <a:fillRect/>
                          </a:stretch>
                        </pic:blipFill>
                        <pic:spPr>
                          <a:xfrm>
                            <a:off x="0" y="0"/>
                            <a:ext cx="5076825" cy="2981325"/>
                          </a:xfrm>
                          <a:prstGeom prst="rect">
                            <a:avLst/>
                          </a:prstGeom>
                          <a:noFill/>
                          <a:ln>
                            <a:noFill/>
                          </a:ln>
                        </pic:spPr>
                      </pic:pic>
                    </a:graphicData>
                  </a:graphic>
                </wp:inline>
              </w:drawing>
            </w:r>
            <w:r>
              <w:drawing>
                <wp:inline distT="0" distB="0" distL="114300" distR="114300">
                  <wp:extent cx="5076190" cy="2982595"/>
                  <wp:effectExtent l="0" t="0" r="13970" b="4445"/>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pic:cNvPicPr>
                        </pic:nvPicPr>
                        <pic:blipFill>
                          <a:blip r:embed="rId28"/>
                          <a:stretch>
                            <a:fillRect/>
                          </a:stretch>
                        </pic:blipFill>
                        <pic:spPr>
                          <a:xfrm>
                            <a:off x="0" y="0"/>
                            <a:ext cx="5076190" cy="2982595"/>
                          </a:xfrm>
                          <a:prstGeom prst="rect">
                            <a:avLst/>
                          </a:prstGeom>
                          <a:noFill/>
                          <a:ln>
                            <a:noFill/>
                          </a:ln>
                        </pic:spPr>
                      </pic:pic>
                    </a:graphicData>
                  </a:graphic>
                </wp:inline>
              </w:drawing>
            </w:r>
          </w:p>
          <w:p>
            <w:pPr>
              <w:bidi w:val="0"/>
              <w:spacing w:line="240" w:lineRule="auto"/>
              <w:ind w:left="0" w:leftChars="0" w:firstLine="0" w:firstLineChars="0"/>
              <w:rPr>
                <w:rFonts w:hint="eastAsia"/>
              </w:rPr>
            </w:pPr>
            <w:r>
              <w:drawing>
                <wp:inline distT="0" distB="0" distL="114300" distR="114300">
                  <wp:extent cx="5072380" cy="2747010"/>
                  <wp:effectExtent l="0" t="0" r="2540" b="11430"/>
                  <wp:docPr id="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pic:cNvPicPr>
                            <a:picLocks noChangeAspect="1"/>
                          </pic:cNvPicPr>
                        </pic:nvPicPr>
                        <pic:blipFill>
                          <a:blip r:embed="rId29"/>
                          <a:stretch>
                            <a:fillRect/>
                          </a:stretch>
                        </pic:blipFill>
                        <pic:spPr>
                          <a:xfrm>
                            <a:off x="0" y="0"/>
                            <a:ext cx="5072380" cy="2747010"/>
                          </a:xfrm>
                          <a:prstGeom prst="rect">
                            <a:avLst/>
                          </a:prstGeom>
                          <a:noFill/>
                          <a:ln>
                            <a:noFill/>
                          </a:ln>
                        </pic:spPr>
                      </pic:pic>
                    </a:graphicData>
                  </a:graphic>
                </wp:inline>
              </w:drawing>
            </w:r>
          </w:p>
          <w:p>
            <w:pPr>
              <w:bidi w:val="0"/>
              <w:rPr>
                <w:rFonts w:hint="eastAsia"/>
              </w:rPr>
            </w:pPr>
            <w:r>
              <w:rPr>
                <w:rFonts w:hint="eastAsia"/>
                <w:lang w:val="en-US" w:eastAsia="zh-CN"/>
              </w:rPr>
              <w:t>由监测数据可知，企业</w:t>
            </w:r>
            <w:r>
              <w:rPr>
                <w:rFonts w:hint="eastAsia"/>
              </w:rPr>
              <w:t>废水总排口中悬浮物、化学需氧量、氨氮、总氮、总磷、氟化物最大日均值及pH值范围均符合《电池工业污染物排放标准》（GB 30484-2013）表2新建企业间接排放限值。</w:t>
            </w:r>
          </w:p>
          <w:p>
            <w:pPr>
              <w:ind w:firstLine="420"/>
              <w:rPr>
                <w:b/>
                <w:bCs/>
              </w:rPr>
            </w:pPr>
            <w:r>
              <w:rPr>
                <w:b/>
                <w:bCs/>
              </w:rPr>
              <w:t>（2）</w:t>
            </w:r>
            <w:r>
              <w:rPr>
                <w:rFonts w:hint="eastAsia"/>
                <w:b/>
                <w:bCs/>
              </w:rPr>
              <w:t>废气</w:t>
            </w:r>
          </w:p>
          <w:p>
            <w:pPr>
              <w:ind w:firstLine="420"/>
              <w:rPr>
                <w:rFonts w:hint="eastAsia" w:eastAsia="宋体"/>
                <w:lang w:eastAsia="zh-CN"/>
              </w:rPr>
            </w:pPr>
            <w:r>
              <w:rPr>
                <w:rFonts w:hint="eastAsia"/>
              </w:rPr>
              <w:t>项目第一阶段NMP精馏工艺，无NMP精馏回收废气，故第一阶段废气主要为电池生产线和研发中试生产线的正负极投料粉尘，制浆工序废气，正极涂布、烘干废气，正极和负极分条、分切粉尘，烘烤、注液、化成废气，激光焊接粉尘，等离子清洗废气，模组PACK生产线等离子清洗废气，激光清洁工序废气，2B生产线涂胶废气，NMP储罐废气，NMP废液储罐呼吸废气，污水处理站废气，理化实验室废气和安全实验室废气。项目第一阶段废气污染源污染物排放情况详见表</w:t>
            </w:r>
            <w:r>
              <w:rPr>
                <w:rFonts w:hint="eastAsia"/>
                <w:lang w:val="en-US" w:eastAsia="zh-CN"/>
              </w:rPr>
              <w:t>2.4-8</w:t>
            </w:r>
            <w:r>
              <w:rPr>
                <w:rFonts w:hint="eastAsia"/>
              </w:rPr>
              <w:t>，废气处理工艺流程见图</w:t>
            </w:r>
            <w:r>
              <w:rPr>
                <w:rFonts w:hint="eastAsia"/>
                <w:lang w:val="en-US" w:eastAsia="zh-CN"/>
              </w:rPr>
              <w:t>2.4-6</w:t>
            </w:r>
            <w:r>
              <w:rPr>
                <w:rFonts w:hint="eastAsia"/>
                <w:lang w:eastAsia="zh-CN"/>
              </w:rPr>
              <w:t>。</w:t>
            </w:r>
          </w:p>
          <w:p>
            <w:pPr>
              <w:ind w:left="0" w:leftChars="0" w:firstLine="0" w:firstLineChars="0"/>
              <w:jc w:val="center"/>
              <w:rPr>
                <w:rFonts w:hint="default" w:eastAsia="宋体"/>
                <w:b/>
                <w:bCs/>
                <w:lang w:val="en-US" w:eastAsia="zh-CN"/>
              </w:rPr>
            </w:pPr>
            <w:r>
              <w:rPr>
                <w:rFonts w:hint="eastAsia"/>
                <w:b/>
                <w:bCs/>
                <w:lang w:val="en-US" w:eastAsia="zh-CN"/>
              </w:rPr>
              <w:t>表2.4-8  废气污染源污染物排放情况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205"/>
              <w:gridCol w:w="2686"/>
              <w:gridCol w:w="225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污染源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主要污染物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环评要求处理方式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实际处理方式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排放方式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正极投料粉尘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颗粒物</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滤芯除尘器+车间过滤系统处理后无组织排放</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与环评一致</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负极投料粉尘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颗粒物</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制浆工序废气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真空泵直连活性炭吸附装置处理后无组织排放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正极涂布、烘干废气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经过“余热回收+两级冷凝+回风+转轮吸附”装置处理后通过29m高排气筒排放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有</w:t>
                  </w:r>
                  <w:r>
                    <w:rPr>
                      <w:rFonts w:hint="eastAsia"/>
                      <w:sz w:val="18"/>
                      <w:szCs w:val="18"/>
                      <w:vertAlign w:val="baseline"/>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正极和负极分条、分切粉尘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经除尘器处理后洁净车间内排放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烘烤废气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经过“碱喷淋+除雾器+活性炭吸附”装置处理后通过29m高排气筒排放</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与环评一致</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有</w:t>
                  </w:r>
                  <w:r>
                    <w:rPr>
                      <w:rFonts w:hint="eastAsia"/>
                      <w:sz w:val="18"/>
                      <w:szCs w:val="18"/>
                      <w:vertAlign w:val="baseline"/>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一次注液废气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化成、二次注液废气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激光焊接粉尘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经除尘器处理后洁净车间内排放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等离子清洗废气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经除尘器处理后洁净车间内排放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激光清洁工序废气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经除尘器处理后洁净车间内排放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2B生产线涂胶废气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源头替代（采用的胶黏剂VOCs含量低于10%），洁净间内无组织排放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与环评一致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NMP储罐呼吸废气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平衡管、呼吸阀和水封系统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平衡管、呼吸阀和氮封系统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NMP废液储罐呼吸废气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平衡管、呼吸阀和水封系统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平衡管、呼吸阀和氮封系统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污水处理站废气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氨、硫化氢、非甲烷总烃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经过“碱喷淋+除雾+活性炭吸附”装置处理后通过15m高排气筒排放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与环评基本一致，除雾装置为喷淋塔自带的折流板除雾器</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有组织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理化实验室废气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非甲烷总烃、氯化氢</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通过活性炭吸附装置处理后通过15m高排气筒排放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经过“碱喷淋+除雾器+活性炭吸附”装置处理后通过29m高排气筒排放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有组织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H7安全实验室废气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非甲烷总烃、颗粒物、氟化物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经过“水喷淋+除雾+活性炭吸附”装置处理后通过15m高排气筒排放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经过“碱喷淋+除雾器+活性炭吸附”装置处理后通过29m高排气筒排放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有组织</w:t>
                  </w:r>
                </w:p>
              </w:tc>
            </w:tr>
          </w:tbl>
          <w:p>
            <w:pPr>
              <w:spacing w:line="240" w:lineRule="auto"/>
              <w:ind w:left="0" w:leftChars="0" w:firstLine="0" w:firstLineChars="0"/>
              <w:rPr>
                <w:rFonts w:hint="eastAsia"/>
              </w:rPr>
            </w:pPr>
            <w:r>
              <w:drawing>
                <wp:inline distT="0" distB="0" distL="114300" distR="114300">
                  <wp:extent cx="5045075" cy="2908300"/>
                  <wp:effectExtent l="0" t="0" r="14605" b="2540"/>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30"/>
                          <a:stretch>
                            <a:fillRect/>
                          </a:stretch>
                        </pic:blipFill>
                        <pic:spPr>
                          <a:xfrm>
                            <a:off x="0" y="0"/>
                            <a:ext cx="5045075" cy="2908300"/>
                          </a:xfrm>
                          <a:prstGeom prst="rect">
                            <a:avLst/>
                          </a:prstGeom>
                          <a:noFill/>
                          <a:ln>
                            <a:noFill/>
                          </a:ln>
                        </pic:spPr>
                      </pic:pic>
                    </a:graphicData>
                  </a:graphic>
                </wp:inline>
              </w:drawing>
            </w:r>
          </w:p>
          <w:p>
            <w:pPr>
              <w:ind w:left="0" w:leftChars="0" w:firstLine="0" w:firstLineChars="0"/>
              <w:jc w:val="center"/>
              <w:rPr>
                <w:rFonts w:hint="default" w:eastAsia="宋体"/>
                <w:b/>
                <w:bCs/>
                <w:lang w:val="en-US" w:eastAsia="zh-CN"/>
              </w:rPr>
            </w:pPr>
            <w:r>
              <w:rPr>
                <w:rFonts w:hint="eastAsia"/>
                <w:b/>
                <w:bCs/>
                <w:lang w:val="en-US" w:eastAsia="zh-CN"/>
              </w:rPr>
              <w:t>图2.4-6  现有项目废气处理工艺图</w:t>
            </w:r>
          </w:p>
          <w:p>
            <w:pPr>
              <w:ind w:firstLine="420"/>
            </w:pPr>
            <w:r>
              <w:rPr>
                <w:rFonts w:hint="eastAsia"/>
              </w:rPr>
              <w:t>为了解</w:t>
            </w:r>
            <w:r>
              <w:rPr>
                <w:rFonts w:hint="eastAsia"/>
                <w:lang w:val="en-US" w:eastAsia="zh-CN"/>
              </w:rPr>
              <w:t>企业</w:t>
            </w:r>
            <w:r>
              <w:rPr>
                <w:rFonts w:hint="eastAsia"/>
              </w:rPr>
              <w:t>废气的达标情况，本环评引用企业2024年11月《浙江晶科储能有限公司晶科储能年产12GWh系统与12GWh电池项目（第一阶段）竣工环境保护验收监测报告表》中的</w:t>
            </w:r>
            <w:r>
              <w:rPr>
                <w:rFonts w:hint="eastAsia"/>
                <w:lang w:val="en-US" w:eastAsia="zh-CN"/>
              </w:rPr>
              <w:t>废气</w:t>
            </w:r>
            <w:r>
              <w:rPr>
                <w:rFonts w:hint="eastAsia"/>
              </w:rPr>
              <w:t>监测数据：</w:t>
            </w:r>
          </w:p>
          <w:p>
            <w:pPr>
              <w:ind w:firstLine="0" w:firstLineChars="0"/>
              <w:jc w:val="center"/>
              <w:rPr>
                <w:b/>
                <w:bCs/>
              </w:rPr>
            </w:pPr>
            <w:r>
              <w:rPr>
                <w:rFonts w:hint="eastAsia"/>
                <w:b/>
                <w:bCs/>
              </w:rPr>
              <w:t>表2.4-</w:t>
            </w:r>
            <w:r>
              <w:rPr>
                <w:rFonts w:hint="eastAsia"/>
                <w:b/>
                <w:bCs/>
                <w:lang w:val="en-US" w:eastAsia="zh-CN"/>
              </w:rPr>
              <w:t xml:space="preserve">9  </w:t>
            </w:r>
            <w:r>
              <w:rPr>
                <w:rFonts w:hint="eastAsia"/>
                <w:b/>
                <w:bCs/>
              </w:rPr>
              <w:t>有组织废气监测结果</w:t>
            </w:r>
          </w:p>
          <w:p>
            <w:pPr>
              <w:spacing w:line="240" w:lineRule="auto"/>
              <w:ind w:left="0" w:leftChars="0" w:firstLine="0" w:firstLineChars="0"/>
              <w:rPr>
                <w:rFonts w:hint="eastAsia"/>
                <w:lang w:val="en-US" w:eastAsia="zh-CN"/>
              </w:rPr>
            </w:pPr>
            <w:r>
              <w:drawing>
                <wp:inline distT="0" distB="0" distL="114300" distR="114300">
                  <wp:extent cx="5072380" cy="2646045"/>
                  <wp:effectExtent l="0" t="0" r="2540" b="5715"/>
                  <wp:docPr id="1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pic:cNvPicPr>
                            <a:picLocks noChangeAspect="1"/>
                          </pic:cNvPicPr>
                        </pic:nvPicPr>
                        <pic:blipFill>
                          <a:blip r:embed="rId31"/>
                          <a:stretch>
                            <a:fillRect/>
                          </a:stretch>
                        </pic:blipFill>
                        <pic:spPr>
                          <a:xfrm>
                            <a:off x="0" y="0"/>
                            <a:ext cx="5072380" cy="2646045"/>
                          </a:xfrm>
                          <a:prstGeom prst="rect">
                            <a:avLst/>
                          </a:prstGeom>
                          <a:noFill/>
                          <a:ln>
                            <a:noFill/>
                          </a:ln>
                        </pic:spPr>
                      </pic:pic>
                    </a:graphicData>
                  </a:graphic>
                </wp:inline>
              </w:drawing>
            </w:r>
            <w:r>
              <w:drawing>
                <wp:inline distT="0" distB="0" distL="114300" distR="114300">
                  <wp:extent cx="5080635" cy="2719070"/>
                  <wp:effectExtent l="0" t="0" r="9525" b="8890"/>
                  <wp:docPr id="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pic:cNvPicPr>
                            <a:picLocks noChangeAspect="1"/>
                          </pic:cNvPicPr>
                        </pic:nvPicPr>
                        <pic:blipFill>
                          <a:blip r:embed="rId32"/>
                          <a:stretch>
                            <a:fillRect/>
                          </a:stretch>
                        </pic:blipFill>
                        <pic:spPr>
                          <a:xfrm>
                            <a:off x="0" y="0"/>
                            <a:ext cx="5080635" cy="2719070"/>
                          </a:xfrm>
                          <a:prstGeom prst="rect">
                            <a:avLst/>
                          </a:prstGeom>
                          <a:noFill/>
                          <a:ln>
                            <a:noFill/>
                          </a:ln>
                        </pic:spPr>
                      </pic:pic>
                    </a:graphicData>
                  </a:graphic>
                </wp:inline>
              </w:drawing>
            </w:r>
            <w:r>
              <w:drawing>
                <wp:inline distT="0" distB="0" distL="114300" distR="114300">
                  <wp:extent cx="5072380" cy="2713990"/>
                  <wp:effectExtent l="0" t="0" r="2540" b="13970"/>
                  <wp:docPr id="1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pic:cNvPicPr>
                            <a:picLocks noChangeAspect="1"/>
                          </pic:cNvPicPr>
                        </pic:nvPicPr>
                        <pic:blipFill>
                          <a:blip r:embed="rId33"/>
                          <a:stretch>
                            <a:fillRect/>
                          </a:stretch>
                        </pic:blipFill>
                        <pic:spPr>
                          <a:xfrm>
                            <a:off x="0" y="0"/>
                            <a:ext cx="5072380" cy="2713990"/>
                          </a:xfrm>
                          <a:prstGeom prst="rect">
                            <a:avLst/>
                          </a:prstGeom>
                          <a:noFill/>
                          <a:ln>
                            <a:noFill/>
                          </a:ln>
                        </pic:spPr>
                      </pic:pic>
                    </a:graphicData>
                  </a:graphic>
                </wp:inline>
              </w:drawing>
            </w:r>
            <w:r>
              <w:drawing>
                <wp:inline distT="0" distB="0" distL="114300" distR="114300">
                  <wp:extent cx="5072380" cy="3030855"/>
                  <wp:effectExtent l="0" t="0" r="2540" b="1905"/>
                  <wp:docPr id="1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pic:cNvPicPr>
                            <a:picLocks noChangeAspect="1"/>
                          </pic:cNvPicPr>
                        </pic:nvPicPr>
                        <pic:blipFill>
                          <a:blip r:embed="rId34"/>
                          <a:stretch>
                            <a:fillRect/>
                          </a:stretch>
                        </pic:blipFill>
                        <pic:spPr>
                          <a:xfrm>
                            <a:off x="0" y="0"/>
                            <a:ext cx="5072380" cy="3030855"/>
                          </a:xfrm>
                          <a:prstGeom prst="rect">
                            <a:avLst/>
                          </a:prstGeom>
                          <a:noFill/>
                          <a:ln>
                            <a:noFill/>
                          </a:ln>
                        </pic:spPr>
                      </pic:pic>
                    </a:graphicData>
                  </a:graphic>
                </wp:inline>
              </w:drawing>
            </w:r>
            <w:r>
              <w:drawing>
                <wp:inline distT="0" distB="0" distL="114300" distR="114300">
                  <wp:extent cx="5071745" cy="2955925"/>
                  <wp:effectExtent l="0" t="0" r="3175" b="635"/>
                  <wp:docPr id="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pic:cNvPicPr>
                            <a:picLocks noChangeAspect="1"/>
                          </pic:cNvPicPr>
                        </pic:nvPicPr>
                        <pic:blipFill>
                          <a:blip r:embed="rId35"/>
                          <a:stretch>
                            <a:fillRect/>
                          </a:stretch>
                        </pic:blipFill>
                        <pic:spPr>
                          <a:xfrm>
                            <a:off x="0" y="0"/>
                            <a:ext cx="5071745" cy="2955925"/>
                          </a:xfrm>
                          <a:prstGeom prst="rect">
                            <a:avLst/>
                          </a:prstGeom>
                          <a:noFill/>
                          <a:ln>
                            <a:noFill/>
                          </a:ln>
                        </pic:spPr>
                      </pic:pic>
                    </a:graphicData>
                  </a:graphic>
                </wp:inline>
              </w:drawing>
            </w:r>
            <w:r>
              <w:drawing>
                <wp:inline distT="0" distB="0" distL="114300" distR="114300">
                  <wp:extent cx="5079365" cy="2933065"/>
                  <wp:effectExtent l="0" t="0" r="10795" b="8255"/>
                  <wp:docPr id="2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6"/>
                          <pic:cNvPicPr>
                            <a:picLocks noChangeAspect="1"/>
                          </pic:cNvPicPr>
                        </pic:nvPicPr>
                        <pic:blipFill>
                          <a:blip r:embed="rId36"/>
                          <a:stretch>
                            <a:fillRect/>
                          </a:stretch>
                        </pic:blipFill>
                        <pic:spPr>
                          <a:xfrm>
                            <a:off x="0" y="0"/>
                            <a:ext cx="5079365" cy="2933065"/>
                          </a:xfrm>
                          <a:prstGeom prst="rect">
                            <a:avLst/>
                          </a:prstGeom>
                          <a:noFill/>
                          <a:ln>
                            <a:noFill/>
                          </a:ln>
                        </pic:spPr>
                      </pic:pic>
                    </a:graphicData>
                  </a:graphic>
                </wp:inline>
              </w:drawing>
            </w:r>
            <w:r>
              <w:drawing>
                <wp:inline distT="0" distB="0" distL="114300" distR="114300">
                  <wp:extent cx="5079365" cy="3011805"/>
                  <wp:effectExtent l="0" t="0" r="10795" b="5715"/>
                  <wp:docPr id="2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
                          <pic:cNvPicPr>
                            <a:picLocks noChangeAspect="1"/>
                          </pic:cNvPicPr>
                        </pic:nvPicPr>
                        <pic:blipFill>
                          <a:blip r:embed="rId37"/>
                          <a:stretch>
                            <a:fillRect/>
                          </a:stretch>
                        </pic:blipFill>
                        <pic:spPr>
                          <a:xfrm>
                            <a:off x="0" y="0"/>
                            <a:ext cx="5079365" cy="3011805"/>
                          </a:xfrm>
                          <a:prstGeom prst="rect">
                            <a:avLst/>
                          </a:prstGeom>
                          <a:noFill/>
                          <a:ln>
                            <a:noFill/>
                          </a:ln>
                        </pic:spPr>
                      </pic:pic>
                    </a:graphicData>
                  </a:graphic>
                </wp:inline>
              </w:drawing>
            </w:r>
            <w:r>
              <w:drawing>
                <wp:inline distT="0" distB="0" distL="114300" distR="114300">
                  <wp:extent cx="5076190" cy="2839720"/>
                  <wp:effectExtent l="0" t="0" r="13970" b="10160"/>
                  <wp:docPr id="2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8"/>
                          <pic:cNvPicPr>
                            <a:picLocks noChangeAspect="1"/>
                          </pic:cNvPicPr>
                        </pic:nvPicPr>
                        <pic:blipFill>
                          <a:blip r:embed="rId38"/>
                          <a:stretch>
                            <a:fillRect/>
                          </a:stretch>
                        </pic:blipFill>
                        <pic:spPr>
                          <a:xfrm>
                            <a:off x="0" y="0"/>
                            <a:ext cx="5076190" cy="2839720"/>
                          </a:xfrm>
                          <a:prstGeom prst="rect">
                            <a:avLst/>
                          </a:prstGeom>
                          <a:noFill/>
                          <a:ln>
                            <a:noFill/>
                          </a:ln>
                        </pic:spPr>
                      </pic:pic>
                    </a:graphicData>
                  </a:graphic>
                </wp:inline>
              </w:drawing>
            </w:r>
          </w:p>
          <w:p>
            <w:pPr>
              <w:ind w:firstLine="0" w:firstLineChars="0"/>
              <w:jc w:val="center"/>
              <w:rPr>
                <w:b/>
                <w:bCs/>
              </w:rPr>
            </w:pPr>
            <w:r>
              <w:rPr>
                <w:rFonts w:hint="eastAsia"/>
                <w:b/>
                <w:bCs/>
              </w:rPr>
              <w:t>表2.4-</w:t>
            </w:r>
            <w:r>
              <w:rPr>
                <w:rFonts w:hint="eastAsia"/>
                <w:b/>
                <w:bCs/>
                <w:lang w:val="en-US" w:eastAsia="zh-CN"/>
              </w:rPr>
              <w:t>10</w:t>
            </w:r>
            <w:r>
              <w:rPr>
                <w:rFonts w:hint="eastAsia"/>
                <w:b/>
                <w:bCs/>
              </w:rPr>
              <w:t xml:space="preserve"> 厂界无组织废气监测结果   单位mg/m</w:t>
            </w:r>
            <w:r>
              <w:rPr>
                <w:rFonts w:hint="eastAsia"/>
                <w:b/>
                <w:bCs/>
                <w:vertAlign w:val="superscript"/>
              </w:rPr>
              <w:t>3</w:t>
            </w:r>
          </w:p>
          <w:p>
            <w:pPr>
              <w:spacing w:line="240" w:lineRule="auto"/>
              <w:ind w:firstLine="0" w:firstLineChars="0"/>
              <w:jc w:val="center"/>
            </w:pPr>
            <w:r>
              <w:drawing>
                <wp:inline distT="0" distB="0" distL="114300" distR="114300">
                  <wp:extent cx="4710430" cy="2557780"/>
                  <wp:effectExtent l="0" t="0" r="13970" b="13970"/>
                  <wp:docPr id="2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9"/>
                          <pic:cNvPicPr>
                            <a:picLocks noChangeAspect="1"/>
                          </pic:cNvPicPr>
                        </pic:nvPicPr>
                        <pic:blipFill>
                          <a:blip r:embed="rId39"/>
                          <a:stretch>
                            <a:fillRect/>
                          </a:stretch>
                        </pic:blipFill>
                        <pic:spPr>
                          <a:xfrm>
                            <a:off x="0" y="0"/>
                            <a:ext cx="4710430" cy="2557780"/>
                          </a:xfrm>
                          <a:prstGeom prst="rect">
                            <a:avLst/>
                          </a:prstGeom>
                          <a:noFill/>
                          <a:ln>
                            <a:noFill/>
                          </a:ln>
                        </pic:spPr>
                      </pic:pic>
                    </a:graphicData>
                  </a:graphic>
                </wp:inline>
              </w:drawing>
            </w:r>
          </w:p>
          <w:p>
            <w:pPr>
              <w:spacing w:line="240" w:lineRule="auto"/>
              <w:ind w:firstLine="0" w:firstLineChars="0"/>
              <w:jc w:val="center"/>
              <w:rPr>
                <w:b/>
                <w:bCs/>
              </w:rPr>
            </w:pPr>
            <w:r>
              <w:rPr>
                <w:rFonts w:hint="eastAsia"/>
                <w:b/>
                <w:bCs/>
              </w:rPr>
              <w:t>表2.4-</w:t>
            </w:r>
            <w:r>
              <w:rPr>
                <w:rFonts w:hint="eastAsia"/>
                <w:b/>
                <w:bCs/>
                <w:lang w:val="en-US" w:eastAsia="zh-CN"/>
              </w:rPr>
              <w:t xml:space="preserve">11 </w:t>
            </w:r>
            <w:r>
              <w:rPr>
                <w:rFonts w:hint="eastAsia"/>
                <w:b/>
                <w:bCs/>
              </w:rPr>
              <w:t xml:space="preserve"> 厂区内无组织废气监测结果</w:t>
            </w:r>
          </w:p>
          <w:p>
            <w:pPr>
              <w:spacing w:line="240" w:lineRule="auto"/>
              <w:ind w:left="0" w:leftChars="0" w:firstLine="0" w:firstLineChars="0"/>
              <w:jc w:val="center"/>
            </w:pPr>
            <w:r>
              <w:drawing>
                <wp:inline distT="0" distB="0" distL="114300" distR="114300">
                  <wp:extent cx="4772025" cy="6276975"/>
                  <wp:effectExtent l="0" t="0" r="13335" b="1905"/>
                  <wp:docPr id="2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0"/>
                          <pic:cNvPicPr>
                            <a:picLocks noChangeAspect="1"/>
                          </pic:cNvPicPr>
                        </pic:nvPicPr>
                        <pic:blipFill>
                          <a:blip r:embed="rId40"/>
                          <a:stretch>
                            <a:fillRect/>
                          </a:stretch>
                        </pic:blipFill>
                        <pic:spPr>
                          <a:xfrm>
                            <a:off x="0" y="0"/>
                            <a:ext cx="4772025" cy="6276975"/>
                          </a:xfrm>
                          <a:prstGeom prst="rect">
                            <a:avLst/>
                          </a:prstGeom>
                          <a:noFill/>
                          <a:ln>
                            <a:noFill/>
                          </a:ln>
                        </pic:spPr>
                      </pic:pic>
                    </a:graphicData>
                  </a:graphic>
                </wp:inline>
              </w:drawing>
            </w:r>
          </w:p>
          <w:p>
            <w:pPr>
              <w:ind w:firstLine="420"/>
              <w:rPr>
                <w:rFonts w:hint="eastAsia"/>
              </w:rPr>
            </w:pPr>
            <w:r>
              <w:rPr>
                <w:rFonts w:hint="eastAsia"/>
                <w:lang w:val="en-US" w:eastAsia="zh-CN"/>
              </w:rPr>
              <w:t>根据企业验收监测数据可知，</w:t>
            </w:r>
            <w:r>
              <w:rPr>
                <w:rFonts w:hint="eastAsia"/>
              </w:rPr>
              <w:t>1#、2#正极涂布烘干废气排气筒中非甲烷总烃浓度，研发中试线正极涂布烘干废气排气筒中非甲烷总烃浓度，及烘烤、注液、化成废气处理设施出口非甲烷总烃排放浓度均符合《电池工业污染物排放标准》（GB30484-2013）表5“锂离子/锂电池”限值</w:t>
            </w:r>
            <w:r>
              <w:rPr>
                <w:rFonts w:hint="eastAsia"/>
                <w:lang w:eastAsia="zh-CN"/>
              </w:rPr>
              <w:t>；</w:t>
            </w:r>
            <w:r>
              <w:rPr>
                <w:rFonts w:hint="eastAsia"/>
                <w:lang w:val="en-US" w:eastAsia="zh-CN"/>
              </w:rPr>
              <w:t>企业</w:t>
            </w:r>
            <w:r>
              <w:rPr>
                <w:rFonts w:hint="eastAsia"/>
              </w:rPr>
              <w:t>污水站废气处理设施出口非甲烷总烃排放浓度均符合《电池工业污染物排放标准》（GB30484-2013）表5“锂离子/锂电池”限值，氨、硫化氢排放速率及臭气浓度均符合《恶臭污染物排放标准》（GB14554-1993）表2限值标准；理化实验室废气处理设施出口非甲烷总烃排放浓度均符合《电池工业污染物排放标准》（GB30484-2013）表5“锂离子/锂电池”限值，氯化氢排放浓度及排放速率均符合《大气污染物综合排放标准》（GB16297-1996）中表2二级标准；H7安全实验室废气处理设施出口颗粒物、非甲烷总烃排放浓度均符合《电池工业污染物排放标准》（GB30484-2013）表5“锂离子/锂电池”限值，氟化物排放浓度均符合《电池工业污染物排放标准》（GB30484-2013）表5“太阳电池”限值。研发中试线烘烤、注液、化成废气处理设施出口非甲烷总烃排放浓度均符合《电池工业污染物排放标准》（GB30484-2013）表5“锂离子/锂电池”限值。</w:t>
            </w:r>
          </w:p>
          <w:p>
            <w:pPr>
              <w:ind w:firstLine="420"/>
              <w:rPr>
                <w:rFonts w:hint="eastAsia"/>
              </w:rPr>
            </w:pPr>
            <w:r>
              <w:rPr>
                <w:rFonts w:hint="eastAsia"/>
                <w:lang w:val="en-US" w:eastAsia="zh-CN"/>
              </w:rPr>
              <w:t>企业</w:t>
            </w:r>
            <w:r>
              <w:rPr>
                <w:rFonts w:hint="eastAsia"/>
              </w:rPr>
              <w:t>厂界无组织废气监控点总悬浮颗粒物、非甲烷总烃、氟化物、氯化氢浓度均符合《电池工业污染物排放标准》（GB 30484-2013）表6限值标准，臭气浓度及氨、硫化氢浓度均符合《恶臭污染物排放标准》（GB 14554-1993）表1二级新扩改建标准。</w:t>
            </w:r>
          </w:p>
          <w:p>
            <w:pPr>
              <w:ind w:firstLine="420"/>
              <w:rPr>
                <w:rFonts w:hint="eastAsia"/>
              </w:rPr>
            </w:pPr>
            <w:r>
              <w:rPr>
                <w:rFonts w:hint="eastAsia"/>
              </w:rPr>
              <w:t>厂区内M1厂房旁、研发及中试车间旁、安全实验室旁、理化实验室旁无组织监控点非甲烷总烃浓度均符合《挥发性有机物无组织排放控制标准》（GB37822-2019）表A.1特别排放限值。</w:t>
            </w:r>
          </w:p>
          <w:p>
            <w:pPr>
              <w:ind w:firstLine="420"/>
            </w:pPr>
            <w:r>
              <w:t>（3）</w:t>
            </w:r>
            <w:r>
              <w:rPr>
                <w:rFonts w:hint="eastAsia"/>
              </w:rPr>
              <w:t>固废</w:t>
            </w:r>
          </w:p>
          <w:p>
            <w:pPr>
              <w:ind w:firstLine="0"/>
              <w:rPr>
                <w:rFonts w:hint="eastAsia"/>
              </w:rPr>
            </w:pPr>
            <w:r>
              <w:rPr>
                <w:rFonts w:hint="eastAsia"/>
              </w:rPr>
              <w:t>项目第一阶段固体废物主要为正极投料过滤粉尘、负极投料过滤粉尘、废无尘布、废正极和负极浆料、废铜箔、废铝箔、废极片、废隔膜、胶带边角料、不合格电芯、研发电芯、不合格铝壳体、废包装材料、废胶纸、废五金件、废线束、废冷却液桶、废电芯拆解过程中产生的废料、废过滤材料、NMP废液、废NMP空桶、污泥、废离子交换树脂、废活性炭（纯水制备）、废滤芯、废碳分子筛</w:t>
            </w:r>
            <w:r>
              <w:rPr>
                <w:rFonts w:hint="eastAsia"/>
                <w:lang w:eastAsia="zh-CN"/>
              </w:rPr>
              <w:t>、</w:t>
            </w:r>
            <w:r>
              <w:rPr>
                <w:rFonts w:hint="eastAsia"/>
              </w:rPr>
              <w:t>生活垃圾</w:t>
            </w:r>
            <w:r>
              <w:rPr>
                <w:rFonts w:hint="eastAsia"/>
                <w:lang w:eastAsia="zh-CN"/>
              </w:rPr>
              <w:t>；</w:t>
            </w:r>
            <w:r>
              <w:rPr>
                <w:rFonts w:hint="eastAsia"/>
              </w:rPr>
              <w:t>废电解液、废电解液桶、废电路板、废胶桶、废胶、废实验材料、废润滑油、废机油、废油桶、含油废滤料、废活性炭（废气处理）、废含油抹布及劳保用品，其中废电解液、废电解液桶、废电路板、废胶桶、废胶、废实验材料、废润滑油、废机油、废油桶、含油废滤料、废活性炭（废气处理）、废含油抹布及劳保用品属于危险废物。</w:t>
            </w:r>
          </w:p>
          <w:p>
            <w:pPr>
              <w:bidi w:val="0"/>
              <w:rPr>
                <w:rFonts w:hint="default" w:eastAsia="宋体"/>
                <w:highlight w:val="yellow"/>
                <w:lang w:val="en-US" w:eastAsia="zh-CN"/>
              </w:rPr>
            </w:pPr>
            <w:r>
              <w:rPr>
                <w:rFonts w:hint="eastAsia"/>
              </w:rPr>
              <w:t>项目废电解液、废电路板、废胶桶、废胶、废实验材料、废润滑油、废机油、废油桶、含油废滤料、废活性炭</w:t>
            </w:r>
            <w:r>
              <w:rPr>
                <w:rFonts w:hint="eastAsia"/>
                <w:lang w:eastAsia="zh-CN"/>
              </w:rPr>
              <w:t>、NMP精馏残黑液</w:t>
            </w:r>
            <w:r>
              <w:rPr>
                <w:rFonts w:hint="eastAsia"/>
              </w:rPr>
              <w:t>委托委托浙江春晖固废处理有限公司处置；废电解液桶由供货厂家回收；废含油抹布及劳保用品属于豁免类，混入生活垃圾委托浙江海扬环境发展有限公司清运处理。</w:t>
            </w:r>
            <w:r>
              <w:rPr>
                <w:rFonts w:hint="eastAsia"/>
                <w:lang w:val="en-US" w:eastAsia="zh-CN"/>
              </w:rPr>
              <w:t>一般固废外卖综合利用</w:t>
            </w:r>
          </w:p>
          <w:p>
            <w:pPr>
              <w:ind w:firstLine="420"/>
            </w:pPr>
            <w:r>
              <w:t>（4）</w:t>
            </w:r>
            <w:r>
              <w:rPr>
                <w:rFonts w:hint="eastAsia"/>
              </w:rPr>
              <w:t>噪声</w:t>
            </w:r>
          </w:p>
          <w:p>
            <w:pPr>
              <w:ind w:firstLine="420"/>
            </w:pPr>
            <w:r>
              <w:rPr>
                <w:rFonts w:hint="eastAsia"/>
              </w:rPr>
              <w:t>企业噪声主要由设备产生的噪声及职工活动噪声，主要生产设备均位于车间室内。根据调查。为了解企业厂界声环境的达标情况，本环评引用企业2024年11月《浙江晶科储能有限公司晶科储能年产12GWh系统与12GWh电池项目（第一阶段）竣工环境保护验收监测报告表》中的</w:t>
            </w:r>
            <w:r>
              <w:rPr>
                <w:rFonts w:hint="eastAsia"/>
                <w:lang w:val="en-US" w:eastAsia="zh-CN"/>
              </w:rPr>
              <w:t>噪声</w:t>
            </w:r>
            <w:r>
              <w:rPr>
                <w:rFonts w:hint="eastAsia"/>
              </w:rPr>
              <w:t>监测数据：。</w:t>
            </w:r>
          </w:p>
          <w:p>
            <w:pPr>
              <w:ind w:firstLine="0" w:firstLineChars="0"/>
              <w:jc w:val="center"/>
              <w:rPr>
                <w:b/>
                <w:bCs/>
              </w:rPr>
            </w:pPr>
            <w:r>
              <w:rPr>
                <w:rFonts w:hint="eastAsia"/>
                <w:b/>
                <w:bCs/>
              </w:rPr>
              <w:t>表2.4-</w:t>
            </w:r>
            <w:r>
              <w:rPr>
                <w:rFonts w:hint="eastAsia"/>
                <w:b/>
                <w:bCs/>
                <w:lang w:val="en-US" w:eastAsia="zh-CN"/>
              </w:rPr>
              <w:t xml:space="preserve">12 </w:t>
            </w:r>
            <w:r>
              <w:rPr>
                <w:rFonts w:hint="eastAsia"/>
                <w:b/>
                <w:bCs/>
              </w:rPr>
              <w:t xml:space="preserve"> 企业厂界噪声监测结果</w:t>
            </w:r>
            <w:r>
              <w:rPr>
                <w:b/>
                <w:bCs/>
              </w:rPr>
              <w:t xml:space="preserve"> </w:t>
            </w:r>
            <w:r>
              <w:rPr>
                <w:rFonts w:hint="eastAsia"/>
                <w:b/>
                <w:bCs/>
              </w:rPr>
              <w:t xml:space="preserve">   单位：</w:t>
            </w:r>
            <w:r>
              <w:rPr>
                <w:b/>
                <w:bCs/>
              </w:rPr>
              <w:t>dB(A)</w:t>
            </w:r>
          </w:p>
          <w:p>
            <w:pPr>
              <w:spacing w:line="240" w:lineRule="auto"/>
              <w:ind w:left="0" w:leftChars="0" w:firstLine="0" w:firstLineChars="0"/>
            </w:pPr>
            <w:r>
              <w:drawing>
                <wp:inline distT="0" distB="0" distL="114300" distR="114300">
                  <wp:extent cx="5061585" cy="4270375"/>
                  <wp:effectExtent l="0" t="0" r="13335" b="12065"/>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41"/>
                          <a:stretch>
                            <a:fillRect/>
                          </a:stretch>
                        </pic:blipFill>
                        <pic:spPr>
                          <a:xfrm>
                            <a:off x="0" y="0"/>
                            <a:ext cx="5061585" cy="4270375"/>
                          </a:xfrm>
                          <a:prstGeom prst="rect">
                            <a:avLst/>
                          </a:prstGeom>
                          <a:noFill/>
                          <a:ln>
                            <a:noFill/>
                          </a:ln>
                        </pic:spPr>
                      </pic:pic>
                    </a:graphicData>
                  </a:graphic>
                </wp:inline>
              </w:drawing>
            </w:r>
          </w:p>
          <w:p>
            <w:pPr>
              <w:ind w:firstLine="420"/>
            </w:pPr>
            <w:r>
              <w:rPr>
                <w:rFonts w:hint="eastAsia"/>
                <w:lang w:val="en-US" w:eastAsia="zh-CN"/>
              </w:rPr>
              <w:t>根据监测数据可知</w:t>
            </w:r>
            <w:r>
              <w:rPr>
                <w:rFonts w:hint="eastAsia"/>
              </w:rPr>
              <w:t>，</w:t>
            </w:r>
            <w:r>
              <w:rPr>
                <w:rFonts w:hint="eastAsia"/>
                <w:lang w:val="en-US" w:eastAsia="zh-CN"/>
              </w:rPr>
              <w:t>企业</w:t>
            </w:r>
            <w:r>
              <w:rPr>
                <w:rFonts w:hint="eastAsia"/>
              </w:rPr>
              <w:t>厂界东侧、南侧、北侧监测点厂界环境噪声昼、夜间测定值均符合《工业企业厂界环境噪声排放标准》（GB 12348-2008）表1中3类标准，厂界西侧监测点厂界环境噪声昼、夜间测定值均符合《工业企业厂界环境噪声排放标准》 （GB 12348-2008）表1中4类标准。</w:t>
            </w:r>
          </w:p>
          <w:p>
            <w:pPr>
              <w:pStyle w:val="6"/>
              <w:ind w:firstLine="0"/>
              <w:rPr>
                <w:b/>
                <w:bCs/>
              </w:rPr>
            </w:pPr>
            <w:r>
              <w:rPr>
                <w:rFonts w:hint="eastAsia"/>
                <w:b/>
                <w:bCs/>
              </w:rPr>
              <w:t>2.4.</w:t>
            </w:r>
            <w:r>
              <w:rPr>
                <w:rFonts w:hint="eastAsia"/>
                <w:b/>
                <w:bCs/>
                <w:lang w:val="en-US" w:eastAsia="zh-CN"/>
              </w:rPr>
              <w:t>8</w:t>
            </w:r>
            <w:r>
              <w:rPr>
                <w:rFonts w:hint="eastAsia"/>
                <w:b/>
                <w:bCs/>
              </w:rPr>
              <w:t>污染源强汇总</w:t>
            </w:r>
          </w:p>
          <w:p>
            <w:pPr>
              <w:ind w:firstLine="420"/>
              <w:rPr>
                <w:rFonts w:hint="default"/>
                <w:b/>
                <w:bCs/>
                <w:lang w:val="en-US" w:eastAsia="zh-CN"/>
              </w:rPr>
            </w:pPr>
            <w:r>
              <w:rPr>
                <w:rFonts w:hint="eastAsia"/>
                <w:b/>
                <w:bCs/>
                <w:lang w:val="en-US" w:eastAsia="zh-CN"/>
              </w:rPr>
              <w:t>（1）废水污染物排放量</w:t>
            </w:r>
          </w:p>
          <w:p>
            <w:pPr>
              <w:ind w:firstLine="420"/>
              <w:rPr>
                <w:rFonts w:hint="default"/>
                <w:lang w:val="en-US" w:eastAsia="zh-CN"/>
              </w:rPr>
            </w:pPr>
            <w:r>
              <w:rPr>
                <w:rFonts w:hint="eastAsia"/>
                <w:lang w:val="en-US" w:eastAsia="zh-CN"/>
              </w:rPr>
              <w:t>根据</w:t>
            </w:r>
            <w:r>
              <w:rPr>
                <w:rFonts w:hint="eastAsia"/>
              </w:rPr>
              <w:t>企业2024年11月《浙江晶科储能有限公司晶科储能年产12GWh系统与12GWh电池项目（第一阶段）竣工环境保护验收监测报告表》中的</w:t>
            </w:r>
            <w:r>
              <w:rPr>
                <w:rFonts w:hint="eastAsia"/>
                <w:lang w:val="en-US" w:eastAsia="zh-CN"/>
              </w:rPr>
              <w:t>废水数据，企业一阶段废水实际排放量为29139t/a，根据尖山污水处理厂CODcr、氨氮排放浓度40mg/L、2mg/L计，则现有项目废水污染物排放情况如下：</w:t>
            </w:r>
          </w:p>
          <w:p>
            <w:pPr>
              <w:ind w:firstLine="0" w:firstLineChars="0"/>
              <w:jc w:val="center"/>
              <w:rPr>
                <w:rFonts w:hint="eastAsia" w:eastAsia="宋体"/>
                <w:b/>
                <w:bCs/>
                <w:lang w:eastAsia="zh-CN"/>
              </w:rPr>
            </w:pPr>
            <w:r>
              <w:rPr>
                <w:rFonts w:hint="eastAsia"/>
                <w:b/>
                <w:bCs/>
              </w:rPr>
              <w:t>表2.4-</w:t>
            </w:r>
            <w:r>
              <w:rPr>
                <w:rFonts w:hint="eastAsia"/>
                <w:b/>
                <w:bCs/>
                <w:lang w:val="en-US" w:eastAsia="zh-CN"/>
              </w:rPr>
              <w:t>13</w:t>
            </w:r>
            <w:r>
              <w:rPr>
                <w:rFonts w:hint="eastAsia"/>
                <w:b/>
                <w:bCs/>
              </w:rPr>
              <w:t xml:space="preserve">  现有项目</w:t>
            </w:r>
            <w:r>
              <w:rPr>
                <w:rFonts w:hint="eastAsia"/>
                <w:b/>
                <w:bCs/>
                <w:lang w:val="en-US" w:eastAsia="zh-CN"/>
              </w:rPr>
              <w:t>废水</w:t>
            </w:r>
            <w:r>
              <w:rPr>
                <w:rFonts w:hint="eastAsia"/>
                <w:b/>
                <w:bCs/>
              </w:rPr>
              <w:t>污染物排放情况汇总表</w:t>
            </w:r>
            <w:r>
              <w:rPr>
                <w:rFonts w:hint="eastAsia"/>
                <w:b/>
                <w:bCs/>
                <w:lang w:eastAsia="zh-CN"/>
              </w:rPr>
              <w:t>、</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805"/>
              <w:gridCol w:w="2461"/>
              <w:gridCol w:w="1746"/>
              <w:gridCol w:w="2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rPr>
                    <w:t>现有项目</w:t>
                  </w:r>
                  <w:r>
                    <w:rPr>
                      <w:rFonts w:hint="eastAsia"/>
                      <w:sz w:val="18"/>
                      <w:szCs w:val="18"/>
                      <w:lang w:val="en-US" w:eastAsia="zh-CN"/>
                    </w:rPr>
                    <w:t>全厂审批量（t/a）</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排放浓度（mg/L）</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一阶段实际排放量（t/a）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污水量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117935.1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29139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CODCr</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4.717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氨氮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0.236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0.058</w:t>
                  </w:r>
                </w:p>
              </w:tc>
            </w:tr>
          </w:tbl>
          <w:p>
            <w:pPr>
              <w:rPr>
                <w:rFonts w:hint="default"/>
                <w:b/>
                <w:bCs/>
                <w:lang w:val="en-US" w:eastAsia="zh-CN"/>
              </w:rPr>
            </w:pPr>
            <w:r>
              <w:rPr>
                <w:rFonts w:hint="eastAsia"/>
                <w:b/>
                <w:bCs/>
                <w:lang w:val="en-US" w:eastAsia="zh-CN"/>
              </w:rPr>
              <w:t>（2）废气污染物排放量</w:t>
            </w:r>
          </w:p>
          <w:p>
            <w:pPr>
              <w:rPr>
                <w:rFonts w:hint="eastAsia"/>
                <w:lang w:val="en-US" w:eastAsia="zh-CN"/>
              </w:rPr>
            </w:pPr>
            <w:r>
              <w:rPr>
                <w:rFonts w:hint="eastAsia"/>
                <w:lang w:val="en-US" w:eastAsia="zh-CN"/>
              </w:rPr>
              <w:t>根据验收监测期间项目有组织废气污染物排放实测数据为基准核算，监测期间1#、2#正极涂布烘干废气排气筒非甲烷总烃平均排放速率为0.011kg/h；烘烤、注液、化成废气排气筒非甲烷总烃平均排放速率为0.043kg/h；研发中试线正极涂布烘干废气排气筒非甲烷总烃平均排放速率为3.79×10</w:t>
            </w:r>
            <w:r>
              <w:rPr>
                <w:rFonts w:hint="eastAsia"/>
                <w:vertAlign w:val="superscript"/>
                <w:lang w:val="en-US" w:eastAsia="zh-CN"/>
              </w:rPr>
              <w:t>-3</w:t>
            </w:r>
            <w:r>
              <w:rPr>
                <w:rFonts w:hint="eastAsia"/>
                <w:lang w:val="en-US" w:eastAsia="zh-CN"/>
              </w:rPr>
              <w:t>kg/h；研发中试线烘烤、注液、化成废气排气筒非甲烷总烃平均排放速率为0.010kg/h；污水站废气排气筒非甲烷总烃平均排放速率为9.48×10</w:t>
            </w:r>
            <w:r>
              <w:rPr>
                <w:rFonts w:hint="eastAsia"/>
                <w:vertAlign w:val="superscript"/>
                <w:lang w:val="en-US" w:eastAsia="zh-CN"/>
              </w:rPr>
              <w:t>-3</w:t>
            </w:r>
            <w:r>
              <w:rPr>
                <w:rFonts w:hint="eastAsia"/>
                <w:lang w:val="en-US" w:eastAsia="zh-CN"/>
              </w:rPr>
              <w:t>kg/h；理化实验室废气排气筒非甲烷总烃平均排放速率为0.011kg/h；H7安全实验室废气排气筒非甲烷总烃平均排放速率为0.016kg/h、颗粒物平均排放速率为 9.13×10</w:t>
            </w:r>
            <w:r>
              <w:rPr>
                <w:rFonts w:hint="eastAsia"/>
                <w:vertAlign w:val="superscript"/>
                <w:lang w:val="en-US" w:eastAsia="zh-CN"/>
              </w:rPr>
              <w:t>-3</w:t>
            </w:r>
            <w:r>
              <w:rPr>
                <w:rFonts w:hint="eastAsia"/>
                <w:lang w:val="en-US" w:eastAsia="zh-CN"/>
              </w:rPr>
              <w:t>kg/h。根据企业提供资料，项目1#、2#正极涂布烘干废气排气筒，烘烤、注液、化成废气排气筒，污水站废气排气筒污染物排放时间均为7200h/a；研发中试线正极涂布烘干废气排气筒，研发中试线烘烤、注液、化成废气排气筒，理化实验室废气排气筒污染物排放时间均为2400h/a；H7安全实验室废气排气筒污染物排放时间均为1200h/a，项目大气污染物年排放总量核算如下：</w:t>
            </w:r>
          </w:p>
          <w:p>
            <w:pPr>
              <w:rPr>
                <w:rFonts w:hint="eastAsia"/>
                <w:lang w:val="en-US" w:eastAsia="zh-CN"/>
              </w:rPr>
            </w:pPr>
            <w:r>
              <w:rPr>
                <w:rFonts w:hint="eastAsia"/>
                <w:lang w:val="en-US" w:eastAsia="zh-CN"/>
              </w:rPr>
              <w:t>有组织颗粒物年排放总量：9.13×10</w:t>
            </w:r>
            <w:r>
              <w:rPr>
                <w:rFonts w:hint="eastAsia"/>
                <w:vertAlign w:val="superscript"/>
                <w:lang w:val="en-US" w:eastAsia="zh-CN"/>
              </w:rPr>
              <w:t>-3</w:t>
            </w:r>
            <w:r>
              <w:rPr>
                <w:rFonts w:hint="eastAsia"/>
                <w:lang w:val="en-US" w:eastAsia="zh-CN"/>
              </w:rPr>
              <w:t>kg/h×1200h/a×10</w:t>
            </w:r>
            <w:r>
              <w:rPr>
                <w:rFonts w:hint="eastAsia"/>
                <w:vertAlign w:val="superscript"/>
                <w:lang w:val="en-US" w:eastAsia="zh-CN"/>
              </w:rPr>
              <w:t>-3</w:t>
            </w:r>
            <w:r>
              <w:rPr>
                <w:rFonts w:hint="eastAsia"/>
                <w:lang w:val="en-US" w:eastAsia="zh-CN"/>
              </w:rPr>
              <w:t>=0.011t/a</w:t>
            </w:r>
          </w:p>
          <w:p>
            <w:pPr>
              <w:rPr>
                <w:rFonts w:hint="eastAsia"/>
                <w:lang w:val="en-US" w:eastAsia="zh-CN"/>
              </w:rPr>
            </w:pPr>
            <w:r>
              <w:rPr>
                <w:rFonts w:hint="eastAsia"/>
                <w:lang w:val="en-US" w:eastAsia="zh-CN"/>
              </w:rPr>
              <w:t>有组织VOCs（以非甲烷烃计）年排放总量： （0.011+0.043+9.48×10</w:t>
            </w:r>
            <w:r>
              <w:rPr>
                <w:rFonts w:hint="eastAsia"/>
                <w:vertAlign w:val="superscript"/>
                <w:lang w:val="en-US" w:eastAsia="zh-CN"/>
              </w:rPr>
              <w:t>-3</w:t>
            </w:r>
            <w:r>
              <w:rPr>
                <w:rFonts w:hint="eastAsia"/>
                <w:lang w:val="en-US" w:eastAsia="zh-CN"/>
              </w:rPr>
              <w:t>）kg/h×7200h/a×10</w:t>
            </w:r>
            <w:r>
              <w:rPr>
                <w:rFonts w:hint="eastAsia"/>
                <w:vertAlign w:val="superscript"/>
                <w:lang w:val="en-US" w:eastAsia="zh-CN"/>
              </w:rPr>
              <w:t>-3</w:t>
            </w:r>
            <w:r>
              <w:rPr>
                <w:rFonts w:hint="eastAsia"/>
                <w:lang w:val="en-US" w:eastAsia="zh-CN"/>
              </w:rPr>
              <w:t>+（3.79×10</w:t>
            </w:r>
            <w:r>
              <w:rPr>
                <w:rFonts w:hint="eastAsia"/>
                <w:vertAlign w:val="superscript"/>
                <w:lang w:val="en-US" w:eastAsia="zh-CN"/>
              </w:rPr>
              <w:t>-3</w:t>
            </w:r>
            <w:r>
              <w:rPr>
                <w:rFonts w:hint="eastAsia"/>
                <w:lang w:val="en-US" w:eastAsia="zh-CN"/>
              </w:rPr>
              <w:t>+0.010+0.011）×2400h/a×10</w:t>
            </w:r>
            <w:r>
              <w:rPr>
                <w:rFonts w:hint="eastAsia"/>
                <w:vertAlign w:val="superscript"/>
                <w:lang w:val="en-US" w:eastAsia="zh-CN"/>
              </w:rPr>
              <w:t>-3</w:t>
            </w:r>
            <w:r>
              <w:rPr>
                <w:rFonts w:hint="eastAsia"/>
                <w:lang w:val="en-US" w:eastAsia="zh-CN"/>
              </w:rPr>
              <w:t>+0.016kg/h×1200h/a×10</w:t>
            </w:r>
            <w:r>
              <w:rPr>
                <w:rFonts w:hint="eastAsia"/>
                <w:vertAlign w:val="superscript"/>
                <w:lang w:val="en-US" w:eastAsia="zh-CN"/>
              </w:rPr>
              <w:t>-3</w:t>
            </w:r>
            <w:r>
              <w:rPr>
                <w:rFonts w:hint="eastAsia"/>
                <w:lang w:val="en-US" w:eastAsia="zh-CN"/>
              </w:rPr>
              <w:t>=0.536t/a。</w:t>
            </w:r>
          </w:p>
          <w:p>
            <w:pPr>
              <w:rPr>
                <w:rFonts w:hint="eastAsia"/>
                <w:lang w:val="en-US" w:eastAsia="zh-CN"/>
              </w:rPr>
            </w:pPr>
            <w:r>
              <w:rPr>
                <w:rFonts w:hint="eastAsia"/>
                <w:lang w:val="en-US" w:eastAsia="zh-CN"/>
              </w:rPr>
              <w:t>根据项目环评，无组织颗粒物排放量分别为：陶瓷浆料、正极投料粉尘0.243t/a，负极投料粉尘0.127t/a，研发中试线陶瓷浆料、正极投料粉尘0.002t/a，研发中试线负极投料粉尘0.00112t/a；无组织废气VOCs排放量分别为：1~4正极涂布烘干无组织废气 1.756t/a、研发中试生产线正极涂布烘干线无组织废气0.015t/a、2B生产线涂胶废气 1.452t/a、NMP废液储罐呼吸气0.005t/a、污水处理站无组织废气0.118t/a。无组织排放总量核算参考环评计算值，由于第一阶段电芯生产线建成2条（项目总体为4条），2B 生产线建成1条（项目总体为3条），NMP废液罐为5个（环评设计为9个），无组织排放总量计算如下：</w:t>
            </w:r>
          </w:p>
          <w:p>
            <w:pPr>
              <w:rPr>
                <w:rFonts w:hint="eastAsia"/>
                <w:lang w:val="en-US" w:eastAsia="zh-CN"/>
              </w:rPr>
            </w:pPr>
            <w:r>
              <w:rPr>
                <w:rFonts w:hint="eastAsia"/>
                <w:lang w:val="en-US" w:eastAsia="zh-CN"/>
              </w:rPr>
              <w:t>无组织颗粒物排放总量：（0.243+0.127）/2+0.002+0.00112=0.18812t/a</w:t>
            </w:r>
          </w:p>
          <w:p>
            <w:pPr>
              <w:rPr>
                <w:rFonts w:hint="eastAsia"/>
                <w:lang w:val="en-US" w:eastAsia="zh-CN"/>
              </w:rPr>
            </w:pPr>
            <w:r>
              <w:rPr>
                <w:rFonts w:hint="eastAsia"/>
                <w:lang w:val="en-US" w:eastAsia="zh-CN"/>
              </w:rPr>
              <w:t>无组织VOCs排放总量：1.756/2+0.015+1.452/3+0.005/9×5+0.118=1.498t/a。</w:t>
            </w:r>
          </w:p>
          <w:p>
            <w:pPr>
              <w:rPr>
                <w:rFonts w:hint="eastAsia"/>
                <w:lang w:val="en-US" w:eastAsia="zh-CN"/>
              </w:rPr>
            </w:pPr>
            <w:r>
              <w:rPr>
                <w:rFonts w:hint="eastAsia"/>
                <w:lang w:val="en-US" w:eastAsia="zh-CN"/>
              </w:rPr>
              <w:t>综上，现有项目颗粒物排放总量为：0.011t/a+0.18812t/a=0.199t/a＜0.373t/a；</w:t>
            </w:r>
          </w:p>
          <w:p>
            <w:pPr>
              <w:rPr>
                <w:rFonts w:hint="eastAsia"/>
                <w:lang w:val="en-US" w:eastAsia="zh-CN"/>
              </w:rPr>
            </w:pPr>
            <w:r>
              <w:rPr>
                <w:rFonts w:hint="eastAsia"/>
                <w:lang w:val="en-US" w:eastAsia="zh-CN"/>
              </w:rPr>
              <w:t>VOCs（以非甲烷总统计）排放总量为：0.536t/a+1.498t/a=2.034t/a＜19.298t/a</w:t>
            </w:r>
          </w:p>
          <w:p>
            <w:pPr>
              <w:ind w:firstLine="0" w:firstLineChars="0"/>
              <w:jc w:val="center"/>
              <w:rPr>
                <w:b/>
                <w:bCs/>
              </w:rPr>
            </w:pPr>
            <w:r>
              <w:rPr>
                <w:rFonts w:hint="eastAsia"/>
                <w:b/>
                <w:bCs/>
              </w:rPr>
              <w:t>表2.4-</w:t>
            </w:r>
            <w:r>
              <w:rPr>
                <w:rFonts w:hint="eastAsia"/>
                <w:b/>
                <w:bCs/>
                <w:lang w:val="en-US" w:eastAsia="zh-CN"/>
              </w:rPr>
              <w:t>14</w:t>
            </w:r>
            <w:r>
              <w:rPr>
                <w:rFonts w:hint="eastAsia"/>
                <w:b/>
                <w:bCs/>
              </w:rPr>
              <w:t xml:space="preserve">  现有项目</w:t>
            </w:r>
            <w:r>
              <w:rPr>
                <w:rFonts w:hint="eastAsia"/>
                <w:b/>
                <w:bCs/>
                <w:lang w:val="en-US" w:eastAsia="zh-CN"/>
              </w:rPr>
              <w:t>废气</w:t>
            </w:r>
            <w:r>
              <w:rPr>
                <w:rFonts w:hint="eastAsia"/>
                <w:b/>
                <w:bCs/>
              </w:rPr>
              <w:t>污染物排放情况汇总表</w:t>
            </w:r>
            <w:r>
              <w:rPr>
                <w:b/>
                <w:bCs/>
              </w:rPr>
              <w:t xml:space="preserve">  </w:t>
            </w:r>
            <w:r>
              <w:rPr>
                <w:rFonts w:hint="eastAsia"/>
                <w:b/>
                <w:bCs/>
              </w:rPr>
              <w:t>单位：</w:t>
            </w:r>
            <w:r>
              <w:rPr>
                <w:b/>
                <w:bCs/>
              </w:rPr>
              <w:t>t/a</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235"/>
              <w:gridCol w:w="3000"/>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项目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rPr>
                    <w:t>现有项目</w:t>
                  </w:r>
                  <w:r>
                    <w:rPr>
                      <w:rFonts w:hint="eastAsia"/>
                      <w:sz w:val="18"/>
                      <w:szCs w:val="18"/>
                      <w:lang w:val="en-US" w:eastAsia="zh-CN"/>
                    </w:rPr>
                    <w:t>全厂审批量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一阶段实际排放量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eastAsia="zh-CN"/>
                    </w:rPr>
                  </w:pPr>
                  <w:r>
                    <w:rPr>
                      <w:rFonts w:hint="eastAsia"/>
                      <w:sz w:val="18"/>
                      <w:szCs w:val="18"/>
                      <w:lang w:val="en-US" w:eastAsia="zh-CN"/>
                    </w:rPr>
                    <w:t>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VOC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19.298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2.034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eastAsia="zh-CN"/>
                    </w:rPr>
                  </w:pPr>
                  <w:r>
                    <w:rPr>
                      <w:rFonts w:hint="eastAsia"/>
                      <w:sz w:val="18"/>
                      <w:szCs w:val="18"/>
                      <w:lang w:val="en-US" w:eastAsia="zh-CN"/>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0.373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0.199</w:t>
                  </w:r>
                </w:p>
              </w:tc>
            </w:tr>
          </w:tbl>
          <w:p>
            <w:pPr>
              <w:rPr>
                <w:rFonts w:hint="eastAsia"/>
                <w:b/>
                <w:bCs/>
                <w:lang w:val="en-US" w:eastAsia="zh-CN"/>
              </w:rPr>
            </w:pPr>
            <w:r>
              <w:rPr>
                <w:rFonts w:hint="eastAsia"/>
                <w:b/>
                <w:bCs/>
                <w:lang w:val="en-US" w:eastAsia="zh-CN"/>
              </w:rPr>
              <w:t>（3）固废产生情况</w:t>
            </w:r>
          </w:p>
          <w:p>
            <w:pPr>
              <w:rPr>
                <w:rFonts w:hint="eastAsia"/>
                <w:b w:val="0"/>
                <w:bCs w:val="0"/>
                <w:lang w:val="en-US" w:eastAsia="zh-CN"/>
              </w:rPr>
            </w:pPr>
            <w:r>
              <w:rPr>
                <w:rFonts w:hint="default" w:eastAsia="宋体"/>
                <w:b w:val="0"/>
                <w:bCs w:val="0"/>
                <w:lang w:val="en-US" w:eastAsia="zh-CN"/>
              </w:rPr>
              <w:t>企业现有</w:t>
            </w:r>
            <w:r>
              <w:rPr>
                <w:rFonts w:hint="eastAsia"/>
                <w:b w:val="0"/>
                <w:bCs w:val="0"/>
                <w:lang w:val="en-US" w:eastAsia="zh-CN"/>
              </w:rPr>
              <w:t>1</w:t>
            </w:r>
            <w:r>
              <w:rPr>
                <w:rFonts w:hint="default" w:eastAsia="宋体"/>
                <w:b w:val="0"/>
                <w:bCs w:val="0"/>
                <w:lang w:val="en-US" w:eastAsia="zh-CN"/>
              </w:rPr>
              <w:t>座</w:t>
            </w:r>
            <w:r>
              <w:rPr>
                <w:rFonts w:hint="eastAsia"/>
                <w:b w:val="0"/>
                <w:bCs w:val="0"/>
                <w:lang w:val="en-US" w:eastAsia="zh-CN"/>
              </w:rPr>
              <w:t>一般固废仓库</w:t>
            </w:r>
            <w:r>
              <w:rPr>
                <w:rFonts w:hint="default" w:eastAsia="宋体"/>
                <w:b w:val="0"/>
                <w:bCs w:val="0"/>
                <w:lang w:val="en-US" w:eastAsia="zh-CN"/>
              </w:rPr>
              <w:t>，面积</w:t>
            </w:r>
            <w:r>
              <w:rPr>
                <w:rFonts w:hint="eastAsia"/>
                <w:b w:val="0"/>
                <w:bCs w:val="0"/>
                <w:lang w:val="en-US" w:eastAsia="zh-CN"/>
              </w:rPr>
              <w:t>1300</w:t>
            </w:r>
            <w:r>
              <w:rPr>
                <w:rFonts w:hint="default" w:eastAsia="宋体"/>
                <w:b w:val="0"/>
                <w:bCs w:val="0"/>
                <w:lang w:val="en-US" w:eastAsia="zh-CN"/>
              </w:rPr>
              <w:t>m</w:t>
            </w:r>
            <w:r>
              <w:rPr>
                <w:rFonts w:hint="default" w:eastAsia="宋体"/>
                <w:b w:val="0"/>
                <w:bCs w:val="0"/>
                <w:vertAlign w:val="superscript"/>
                <w:lang w:val="en-US" w:eastAsia="zh-CN"/>
              </w:rPr>
              <w:t>2</w:t>
            </w:r>
            <w:r>
              <w:rPr>
                <w:rFonts w:hint="default" w:eastAsia="宋体"/>
                <w:b w:val="0"/>
                <w:bCs w:val="0"/>
                <w:lang w:val="en-US" w:eastAsia="zh-CN"/>
              </w:rPr>
              <w:t>，最大存储量可达</w:t>
            </w:r>
            <w:r>
              <w:rPr>
                <w:rFonts w:hint="eastAsia"/>
                <w:b w:val="0"/>
                <w:bCs w:val="0"/>
                <w:lang w:val="en-US" w:eastAsia="zh-CN"/>
              </w:rPr>
              <w:t>15</w:t>
            </w:r>
            <w:r>
              <w:rPr>
                <w:rFonts w:hint="default" w:eastAsia="宋体"/>
                <w:b w:val="0"/>
                <w:bCs w:val="0"/>
                <w:lang w:val="en-US" w:eastAsia="zh-CN"/>
              </w:rPr>
              <w:t>0t，位于厂区西北侧</w:t>
            </w:r>
            <w:r>
              <w:rPr>
                <w:rFonts w:hint="eastAsia"/>
                <w:b w:val="0"/>
                <w:bCs w:val="0"/>
                <w:lang w:val="en-US" w:eastAsia="zh-CN"/>
              </w:rPr>
              <w:t>，已参照《一般工业固体废物贮存和填埋污染控制标准》(GB18599-2020)标准，做好防风、防雨、地面硬化等措施；</w:t>
            </w:r>
            <w:r>
              <w:rPr>
                <w:rFonts w:hint="default" w:eastAsia="宋体"/>
                <w:b w:val="0"/>
                <w:bCs w:val="0"/>
                <w:lang w:val="en-US" w:eastAsia="zh-CN"/>
              </w:rPr>
              <w:t>企业现有</w:t>
            </w:r>
            <w:r>
              <w:rPr>
                <w:rFonts w:hint="eastAsia"/>
                <w:b w:val="0"/>
                <w:bCs w:val="0"/>
                <w:lang w:val="en-US" w:eastAsia="zh-CN"/>
              </w:rPr>
              <w:t>1</w:t>
            </w:r>
            <w:r>
              <w:rPr>
                <w:rFonts w:hint="default" w:eastAsia="宋体"/>
                <w:b w:val="0"/>
                <w:bCs w:val="0"/>
                <w:lang w:val="en-US" w:eastAsia="zh-CN"/>
              </w:rPr>
              <w:t>座危废仓库，面积</w:t>
            </w:r>
            <w:r>
              <w:rPr>
                <w:rFonts w:hint="eastAsia"/>
                <w:b w:val="0"/>
                <w:bCs w:val="0"/>
                <w:lang w:val="en-US" w:eastAsia="zh-CN"/>
              </w:rPr>
              <w:t>1499.1</w:t>
            </w:r>
            <w:r>
              <w:rPr>
                <w:rFonts w:hint="default" w:eastAsia="宋体"/>
                <w:b w:val="0"/>
                <w:bCs w:val="0"/>
                <w:lang w:val="en-US" w:eastAsia="zh-CN"/>
              </w:rPr>
              <w:t>m</w:t>
            </w:r>
            <w:r>
              <w:rPr>
                <w:rFonts w:hint="default" w:eastAsia="宋体"/>
                <w:b w:val="0"/>
                <w:bCs w:val="0"/>
                <w:vertAlign w:val="superscript"/>
                <w:lang w:val="en-US" w:eastAsia="zh-CN"/>
              </w:rPr>
              <w:t>2</w:t>
            </w:r>
            <w:r>
              <w:rPr>
                <w:rFonts w:hint="default" w:eastAsia="宋体"/>
                <w:b w:val="0"/>
                <w:bCs w:val="0"/>
                <w:lang w:val="en-US" w:eastAsia="zh-CN"/>
              </w:rPr>
              <w:t>，最大存储量可达</w:t>
            </w:r>
            <w:r>
              <w:rPr>
                <w:rFonts w:hint="eastAsia"/>
                <w:b w:val="0"/>
                <w:bCs w:val="0"/>
                <w:lang w:val="en-US" w:eastAsia="zh-CN"/>
              </w:rPr>
              <w:t>15</w:t>
            </w:r>
            <w:r>
              <w:rPr>
                <w:rFonts w:hint="default" w:eastAsia="宋体"/>
                <w:b w:val="0"/>
                <w:bCs w:val="0"/>
                <w:lang w:val="en-US" w:eastAsia="zh-CN"/>
              </w:rPr>
              <w:t>0t，位于厂区西北侧，危废仓库已按照《危险废物贮存污染控制标准》（GB18597-2023）要求建设，已进行防腐防渗处理，各危险废物分类存放，并粘贴危废标签，仓库外张贴危废仓库标识</w:t>
            </w:r>
            <w:r>
              <w:rPr>
                <w:rFonts w:hint="eastAsia"/>
                <w:b w:val="0"/>
                <w:bCs w:val="0"/>
                <w:lang w:val="en-US" w:eastAsia="zh-CN"/>
              </w:rPr>
              <w:t>。</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1"/>
              <w:gridCol w:w="3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vertAlign w:val="baseline"/>
                      <w:lang w:val="en-US" w:eastAsia="zh-CN"/>
                    </w:rPr>
                  </w:pPr>
                  <w:r>
                    <w:drawing>
                      <wp:inline distT="0" distB="0" distL="114300" distR="114300">
                        <wp:extent cx="2520315" cy="1423670"/>
                        <wp:effectExtent l="0" t="0" r="13335" b="508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42"/>
                                <a:stretch>
                                  <a:fillRect/>
                                </a:stretch>
                              </pic:blipFill>
                              <pic:spPr>
                                <a:xfrm>
                                  <a:off x="0" y="0"/>
                                  <a:ext cx="2520315" cy="1423670"/>
                                </a:xfrm>
                                <a:prstGeom prst="rect">
                                  <a:avLst/>
                                </a:prstGeom>
                                <a:noFill/>
                                <a:ln>
                                  <a:noFill/>
                                </a:ln>
                              </pic:spPr>
                            </pic:pic>
                          </a:graphicData>
                        </a:graphic>
                      </wp:inline>
                    </w:drawing>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vertAlign w:val="baseline"/>
                      <w:lang w:val="en-US" w:eastAsia="zh-CN"/>
                    </w:rPr>
                  </w:pPr>
                  <w:r>
                    <w:drawing>
                      <wp:inline distT="0" distB="0" distL="114300" distR="114300">
                        <wp:extent cx="2520315" cy="1204595"/>
                        <wp:effectExtent l="0" t="0" r="13335" b="14605"/>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43"/>
                                <a:stretch>
                                  <a:fillRect/>
                                </a:stretch>
                              </pic:blipFill>
                              <pic:spPr>
                                <a:xfrm>
                                  <a:off x="0" y="0"/>
                                  <a:ext cx="2520315" cy="12045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危废仓库外</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危废仓库内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vertAlign w:val="baseline"/>
                      <w:lang w:val="en-US" w:eastAsia="zh-CN"/>
                    </w:rPr>
                  </w:pPr>
                  <w:r>
                    <w:drawing>
                      <wp:inline distT="0" distB="0" distL="114300" distR="114300">
                        <wp:extent cx="2520315" cy="1130300"/>
                        <wp:effectExtent l="0" t="0" r="13335" b="1270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44"/>
                                <a:stretch>
                                  <a:fillRect/>
                                </a:stretch>
                              </pic:blipFill>
                              <pic:spPr>
                                <a:xfrm>
                                  <a:off x="0" y="0"/>
                                  <a:ext cx="2520315" cy="1130300"/>
                                </a:xfrm>
                                <a:prstGeom prst="rect">
                                  <a:avLst/>
                                </a:prstGeom>
                                <a:noFill/>
                                <a:ln>
                                  <a:noFill/>
                                </a:ln>
                              </pic:spPr>
                            </pic:pic>
                          </a:graphicData>
                        </a:graphic>
                      </wp:inline>
                    </w:drawing>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vertAlign w:val="baseline"/>
                      <w:lang w:val="en-US" w:eastAsia="zh-CN"/>
                    </w:rPr>
                  </w:pPr>
                  <w:r>
                    <w:drawing>
                      <wp:inline distT="0" distB="0" distL="114300" distR="114300">
                        <wp:extent cx="2520315" cy="1146175"/>
                        <wp:effectExtent l="0" t="0" r="13335" b="15875"/>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45"/>
                                <a:stretch>
                                  <a:fillRect/>
                                </a:stretch>
                              </pic:blipFill>
                              <pic:spPr>
                                <a:xfrm>
                                  <a:off x="0" y="0"/>
                                  <a:ext cx="2520315" cy="11461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一般固废仓库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NMP废液储罐</w:t>
                  </w:r>
                </w:p>
              </w:tc>
            </w:tr>
          </w:tbl>
          <w:p>
            <w:pPr>
              <w:bidi w:val="0"/>
              <w:rPr>
                <w:rFonts w:hint="eastAsia"/>
                <w:lang w:val="en-US" w:eastAsia="zh-CN"/>
              </w:rPr>
            </w:pPr>
            <w:r>
              <w:rPr>
                <w:rFonts w:hint="eastAsia"/>
                <w:lang w:val="en-US" w:eastAsia="zh-CN"/>
              </w:rPr>
              <w:t>根据</w:t>
            </w:r>
            <w:r>
              <w:rPr>
                <w:rFonts w:hint="eastAsia"/>
              </w:rPr>
              <w:t>企业2024年11月《浙江晶科储能有限公司晶科储能年产12GWh系统与12GWh电池项目（第一阶段）竣工环境保护验收监测报告表》中的</w:t>
            </w:r>
            <w:r>
              <w:rPr>
                <w:rFonts w:hint="eastAsia"/>
                <w:lang w:val="en-US" w:eastAsia="zh-CN"/>
              </w:rPr>
              <w:t>固废统计数据，计结果如下：</w:t>
            </w:r>
          </w:p>
          <w:p>
            <w:pPr>
              <w:bidi w:val="0"/>
              <w:jc w:val="center"/>
              <w:rPr>
                <w:rFonts w:hint="default"/>
                <w:b/>
                <w:bCs/>
                <w:lang w:val="en-US" w:eastAsia="zh-CN"/>
              </w:rPr>
            </w:pPr>
            <w:r>
              <w:rPr>
                <w:rFonts w:hint="eastAsia"/>
                <w:b/>
                <w:bCs/>
                <w:lang w:val="en-US" w:eastAsia="zh-CN"/>
              </w:rPr>
              <w:t>表2.4-15  现有项目固废产生情况一览表    单位:t/a</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282"/>
              <w:gridCol w:w="1082"/>
              <w:gridCol w:w="935"/>
              <w:gridCol w:w="4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类别</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污染物名称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现有项目许可产生量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一阶段实际产生量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一般固废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正极投料过滤粉尘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4.86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负极投料过滤粉尘</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2.54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废无尘布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废正极和负极浆料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收集后外售给无锡动力电池再生技术有限公司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废铜箔、废铝箔、废极片</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废隔膜、胶带边角料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轻微不合格电芯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38930.5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18902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严重不合格电芯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393.2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研发电芯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5748.7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2468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部分拆解、测试、送检，部分外售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不合格铝壳体</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14.3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废包装材料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收集后外售给嘉兴中誉再生资源有限公司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不合格电芯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废胶纸</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废五金件、废线束、废包装材料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废五金件收集后外售给藤青青再生资源（上饶）有限公司；废线束收集后暂存于一般固废仓库，拟签订合同外售；废包装材料收集后外售给嘉兴中誉再生资源有限公司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废冷却液桶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33.66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厂家回收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废电芯拆解过程中产生的废料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收集后外售给藤青青再生资源（上饶）有限公司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废过滤材料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厂家更换回收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污泥</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18.16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委托浙江绿色中翔环保科技有限公司处置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废离子交换树脂、废活性炭、废滤芯</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收集后暂存于一般固废仓库，拟签订合同外售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废碳分子筛</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厂家直接回收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危险固废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废电解液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158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30</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委托浙江春晖固废处理有限公司处置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废电路板</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废胶桶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废胶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3</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废实验材料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废润滑油、废机油及废油桶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含油废滤料</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废活性炭</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82.1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NMP精馏残黑液</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543.37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废电解液空桶</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798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389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由供货厂家回收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废含油抹布、劳保用品</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混入生活垃圾委托浙江海扬环境发展有限公司清运处理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生活垃圾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委托浙江海扬环境发展有限公司清运处理</w:t>
                  </w:r>
                </w:p>
              </w:tc>
            </w:tr>
          </w:tbl>
          <w:p>
            <w:pPr>
              <w:bidi w:val="0"/>
              <w:rPr>
                <w:rFonts w:hint="eastAsia"/>
                <w:b/>
                <w:bCs/>
                <w:sz w:val="18"/>
                <w:szCs w:val="18"/>
                <w:lang w:val="en-US" w:eastAsia="zh-CN"/>
              </w:rPr>
            </w:pPr>
            <w:r>
              <w:rPr>
                <w:rFonts w:hint="eastAsia"/>
                <w:b/>
                <w:bCs/>
                <w:sz w:val="18"/>
                <w:szCs w:val="18"/>
                <w:lang w:val="en-US" w:eastAsia="zh-CN"/>
              </w:rPr>
              <w:t>注*原环评未核定废胶产生量，一阶段实际产生量约3t/a，由于一阶段实施了1条2BPACK生产线，则3条生产线全部建成后废胶产生量约为9t/a。废胶危废代码为HW13：900-014-13。</w:t>
            </w:r>
          </w:p>
          <w:p>
            <w:pPr>
              <w:bidi w:val="0"/>
              <w:rPr>
                <w:rFonts w:hint="eastAsia"/>
                <w:b/>
                <w:bCs/>
                <w:lang w:val="en-US" w:eastAsia="zh-CN"/>
              </w:rPr>
            </w:pPr>
            <w:r>
              <w:rPr>
                <w:rFonts w:hint="eastAsia"/>
                <w:b/>
                <w:bCs/>
                <w:lang w:val="en-US" w:eastAsia="zh-CN"/>
              </w:rPr>
              <w:t>（4）污染物排放量汇总</w:t>
            </w:r>
          </w:p>
          <w:p>
            <w:pPr>
              <w:bidi w:val="0"/>
              <w:rPr>
                <w:rFonts w:hint="eastAsia"/>
                <w:lang w:val="en-US" w:eastAsia="zh-CN"/>
              </w:rPr>
            </w:pPr>
            <w:r>
              <w:rPr>
                <w:rFonts w:hint="eastAsia"/>
                <w:lang w:val="en-US" w:eastAsia="zh-CN"/>
              </w:rPr>
              <w:t>结合企业2024年验收计算结果以及2024年排污许可年度执行报告情况，其现有项目污染物排放情况见下表：</w:t>
            </w:r>
          </w:p>
          <w:p>
            <w:pPr>
              <w:bidi w:val="0"/>
              <w:ind w:left="0" w:leftChars="0" w:firstLine="0" w:firstLineChars="0"/>
              <w:jc w:val="center"/>
              <w:rPr>
                <w:rFonts w:hint="default"/>
                <w:b/>
                <w:bCs/>
                <w:lang w:val="en-US" w:eastAsia="zh-CN"/>
              </w:rPr>
            </w:pPr>
            <w:r>
              <w:rPr>
                <w:rFonts w:hint="eastAsia"/>
                <w:b/>
                <w:bCs/>
                <w:lang w:val="en-US" w:eastAsia="zh-CN"/>
              </w:rPr>
              <w:t>表2.4-16  现有项目污染物排放情况一览表    单位：t/a</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884"/>
              <w:gridCol w:w="1057"/>
              <w:gridCol w:w="1466"/>
              <w:gridCol w:w="1158"/>
              <w:gridCol w:w="891"/>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项目</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污染物</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原审批排放量</w:t>
                  </w:r>
                </w:p>
              </w:tc>
              <w:tc>
                <w:tcPr>
                  <w:tcW w:w="0" w:type="auto"/>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现有项目</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处置去向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2024年实际排放量（已建）</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在建项目排放量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合计</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废气</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VOC</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19.298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2.034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17.264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19.298</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0.373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0.199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0.174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0.373</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废水</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废水量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117935.1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29139</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88796.1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117935.1</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经厂区污水处理站处理达标后纳管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COD</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4.717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1.166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3.551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4.717</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氨氮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0.058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0.178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vertAlign w:val="baseline"/>
                      <w:lang w:val="en-US" w:eastAsia="zh-CN" w:bidi="ar-SA"/>
                    </w:rPr>
                  </w:pPr>
                  <w:r>
                    <w:rPr>
                      <w:rFonts w:hint="eastAsia"/>
                      <w:sz w:val="18"/>
                      <w:szCs w:val="18"/>
                      <w:vertAlign w:val="baseline"/>
                      <w:lang w:val="en-US" w:eastAsia="zh-CN"/>
                    </w:rPr>
                    <w:t>0.236</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固废（产生量）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一般工业固废</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45334.22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21643.8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23,690.42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45334.22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出售综合利用或委托处置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危险废物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1601.97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457.5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1,144.47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1601.97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委托有资质的单位处置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生活垃圾</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400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350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750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750</w:t>
                  </w:r>
                </w:p>
              </w:tc>
            </w:tr>
          </w:tbl>
          <w:p>
            <w:pPr>
              <w:pStyle w:val="6"/>
              <w:rPr>
                <w:rFonts w:hint="default" w:eastAsia="宋体"/>
                <w:lang w:val="en-US" w:eastAsia="zh-CN"/>
              </w:rPr>
            </w:pPr>
            <w:r>
              <w:rPr>
                <w:rFonts w:hint="eastAsia"/>
                <w:lang w:val="en-US" w:eastAsia="zh-CN"/>
              </w:rPr>
              <w:t>2.4.9排污许可证执行情况</w:t>
            </w:r>
          </w:p>
          <w:p>
            <w:pPr>
              <w:bidi w:val="0"/>
              <w:rPr>
                <w:rFonts w:hint="eastAsia"/>
              </w:rPr>
            </w:pPr>
            <w:r>
              <w:rPr>
                <w:rFonts w:hint="eastAsia"/>
              </w:rPr>
              <w:t>企业已申领排污许可证(91330481MACH1XP84W001Q)，企业已按排污许可要求落实常规监测项目、频次等要求并落实季报年报。</w:t>
            </w:r>
          </w:p>
          <w:p>
            <w:pPr>
              <w:bidi w:val="0"/>
              <w:rPr>
                <w:rFonts w:hint="eastAsia"/>
              </w:rPr>
            </w:pPr>
            <w:r>
              <w:rPr>
                <w:rFonts w:hint="eastAsia"/>
              </w:rPr>
              <w:t>根据企业日常检测报告，废气污染物监测结果未超过相应排放标准；废水污染物浓度未超过相应排放标准，排放量在已有排污权指标范围内；同时已落实固废台账要求。</w:t>
            </w:r>
          </w:p>
          <w:p>
            <w:pPr>
              <w:pStyle w:val="6"/>
              <w:rPr>
                <w:rFonts w:hint="default" w:eastAsia="宋体"/>
                <w:lang w:val="en-US" w:eastAsia="zh-CN"/>
              </w:rPr>
            </w:pPr>
            <w:r>
              <w:rPr>
                <w:rFonts w:hint="eastAsia"/>
              </w:rPr>
              <w:t>2.4.</w:t>
            </w:r>
            <w:r>
              <w:rPr>
                <w:rFonts w:hint="eastAsia"/>
                <w:lang w:val="en-US" w:eastAsia="zh-CN"/>
              </w:rPr>
              <w:t>10</w:t>
            </w:r>
            <w:r>
              <w:rPr>
                <w:rFonts w:hint="eastAsia"/>
                <w:bCs/>
                <w:color w:val="auto"/>
              </w:rPr>
              <w:t>企业目前存在问题</w:t>
            </w:r>
            <w:r>
              <w:rPr>
                <w:rFonts w:hint="eastAsia"/>
                <w:bCs/>
                <w:color w:val="auto"/>
                <w:lang w:val="en-US" w:eastAsia="zh-CN"/>
              </w:rPr>
              <w:t>以及改进的措施</w:t>
            </w:r>
          </w:p>
          <w:p>
            <w:pPr>
              <w:ind w:firstLine="420"/>
              <w:rPr>
                <w:rFonts w:hint="default" w:eastAsia="宋体"/>
                <w:lang w:val="en-US" w:eastAsia="zh-CN"/>
              </w:rPr>
            </w:pPr>
            <w:r>
              <w:rPr>
                <w:rFonts w:hint="eastAsia"/>
              </w:rPr>
              <w:t>从总体上看，浙江晶科储能有限公司基本上按照环评报告及批复的相关要求执行，环境保护措施较完善，废水、废气、噪声等均能达标排放。废线束、废离子交换树脂、废活性炭</w:t>
            </w:r>
            <w:r>
              <w:rPr>
                <w:rFonts w:hint="eastAsia"/>
                <w:lang w:eastAsia="zh-CN"/>
              </w:rPr>
              <w:t>（</w:t>
            </w:r>
            <w:r>
              <w:rPr>
                <w:rFonts w:hint="eastAsia"/>
                <w:lang w:val="en-US" w:eastAsia="zh-CN"/>
              </w:rPr>
              <w:t>纯水制备</w:t>
            </w:r>
            <w:r>
              <w:rPr>
                <w:rFonts w:hint="eastAsia"/>
                <w:lang w:eastAsia="zh-CN"/>
              </w:rPr>
              <w:t>）</w:t>
            </w:r>
            <w:r>
              <w:rPr>
                <w:rFonts w:hint="eastAsia"/>
              </w:rPr>
              <w:t>、废滤芯</w:t>
            </w:r>
            <w:r>
              <w:rPr>
                <w:rFonts w:hint="eastAsia"/>
                <w:lang w:val="en-US" w:eastAsia="zh-CN"/>
              </w:rPr>
              <w:t>尚未签订一般固废回收协议，要求企业尽快签订一般固废回收协议。</w:t>
            </w:r>
          </w:p>
          <w:p>
            <w:pPr>
              <w:ind w:firstLine="0" w:firstLineChars="0"/>
              <w:jc w:val="center"/>
              <w:rPr>
                <w:rFonts w:hint="eastAsia"/>
                <w:b/>
                <w:bCs/>
                <w:lang w:val="en-US" w:eastAsia="zh-CN"/>
              </w:rPr>
            </w:pPr>
            <w:r>
              <w:rPr>
                <w:rFonts w:hint="eastAsia"/>
                <w:b/>
                <w:bCs/>
                <w:lang w:val="en-US" w:eastAsia="zh-CN"/>
              </w:rPr>
              <w:t>表2.4-17  现有企业存在的问题及整改期限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
              <w:gridCol w:w="4578"/>
              <w:gridCol w:w="1776"/>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default"/>
                      <w:vertAlign w:val="baseline"/>
                      <w:lang w:val="en-US" w:eastAsia="zh-CN"/>
                    </w:rPr>
                  </w:pPr>
                  <w:r>
                    <w:rPr>
                      <w:rFonts w:hint="eastAsia"/>
                      <w:vertAlign w:val="baseline"/>
                      <w:lang w:val="en-US" w:eastAsia="zh-CN"/>
                    </w:rPr>
                    <w:t>序号</w:t>
                  </w:r>
                </w:p>
              </w:tc>
              <w:tc>
                <w:tcPr>
                  <w:tcW w:w="0" w:type="auto"/>
                  <w:vAlign w:val="center"/>
                </w:tcPr>
                <w:p>
                  <w:pPr>
                    <w:pStyle w:val="20"/>
                    <w:rPr>
                      <w:rFonts w:hint="default"/>
                      <w:vertAlign w:val="baseline"/>
                      <w:lang w:val="en-US" w:eastAsia="zh-CN"/>
                    </w:rPr>
                  </w:pPr>
                  <w:r>
                    <w:rPr>
                      <w:rFonts w:hint="eastAsia"/>
                      <w:vertAlign w:val="baseline"/>
                      <w:lang w:val="en-US" w:eastAsia="zh-CN"/>
                    </w:rPr>
                    <w:t>存在问题</w:t>
                  </w:r>
                </w:p>
              </w:tc>
              <w:tc>
                <w:tcPr>
                  <w:tcW w:w="0" w:type="auto"/>
                  <w:vAlign w:val="center"/>
                </w:tcPr>
                <w:p>
                  <w:pPr>
                    <w:pStyle w:val="20"/>
                    <w:rPr>
                      <w:rFonts w:hint="default"/>
                      <w:vertAlign w:val="baseline"/>
                      <w:lang w:val="en-US" w:eastAsia="zh-CN"/>
                    </w:rPr>
                  </w:pPr>
                  <w:r>
                    <w:rPr>
                      <w:rFonts w:hint="eastAsia"/>
                      <w:vertAlign w:val="baseline"/>
                      <w:lang w:val="en-US" w:eastAsia="zh-CN"/>
                    </w:rPr>
                    <w:t>整改要求</w:t>
                  </w:r>
                </w:p>
              </w:tc>
              <w:tc>
                <w:tcPr>
                  <w:tcW w:w="0" w:type="auto"/>
                  <w:vAlign w:val="center"/>
                </w:tcPr>
                <w:p>
                  <w:pPr>
                    <w:pStyle w:val="20"/>
                    <w:rPr>
                      <w:rFonts w:hint="default"/>
                      <w:vertAlign w:val="baseline"/>
                      <w:lang w:val="en-US" w:eastAsia="zh-CN"/>
                    </w:rPr>
                  </w:pPr>
                  <w:r>
                    <w:rPr>
                      <w:rFonts w:hint="eastAsia"/>
                      <w:vertAlign w:val="baseline"/>
                      <w:lang w:val="en-US" w:eastAsia="zh-CN"/>
                    </w:rPr>
                    <w:t>整改时限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default"/>
                      <w:vertAlign w:val="baseline"/>
                      <w:lang w:val="en-US" w:eastAsia="zh-CN"/>
                    </w:rPr>
                  </w:pPr>
                  <w:r>
                    <w:rPr>
                      <w:rFonts w:hint="eastAsia"/>
                      <w:vertAlign w:val="baseline"/>
                      <w:lang w:val="en-US" w:eastAsia="zh-CN"/>
                    </w:rPr>
                    <w:t>1</w:t>
                  </w:r>
                </w:p>
              </w:tc>
              <w:tc>
                <w:tcPr>
                  <w:tcW w:w="0" w:type="auto"/>
                  <w:vAlign w:val="center"/>
                </w:tcPr>
                <w:p>
                  <w:pPr>
                    <w:pStyle w:val="20"/>
                    <w:rPr>
                      <w:rFonts w:hint="default"/>
                      <w:vertAlign w:val="baseline"/>
                      <w:lang w:val="en-US" w:eastAsia="zh-CN"/>
                    </w:rPr>
                  </w:pPr>
                  <w:r>
                    <w:rPr>
                      <w:rFonts w:hint="eastAsia"/>
                    </w:rPr>
                    <w:t>废线束、废离子交换树脂、废活性炭</w:t>
                  </w:r>
                  <w:r>
                    <w:rPr>
                      <w:rFonts w:hint="eastAsia"/>
                      <w:lang w:eastAsia="zh-CN"/>
                    </w:rPr>
                    <w:t>（</w:t>
                  </w:r>
                  <w:r>
                    <w:rPr>
                      <w:rFonts w:hint="eastAsia"/>
                      <w:lang w:val="en-US" w:eastAsia="zh-CN"/>
                    </w:rPr>
                    <w:t>纯水制备</w:t>
                  </w:r>
                  <w:r>
                    <w:rPr>
                      <w:rFonts w:hint="eastAsia"/>
                      <w:lang w:eastAsia="zh-CN"/>
                    </w:rPr>
                    <w:t>）</w:t>
                  </w:r>
                  <w:r>
                    <w:rPr>
                      <w:rFonts w:hint="eastAsia"/>
                    </w:rPr>
                    <w:t>、废滤芯</w:t>
                  </w:r>
                  <w:r>
                    <w:rPr>
                      <w:rFonts w:hint="eastAsia"/>
                      <w:lang w:val="en-US" w:eastAsia="zh-CN"/>
                    </w:rPr>
                    <w:t>尚尚未签订一般固废回收协议</w:t>
                  </w:r>
                </w:p>
              </w:tc>
              <w:tc>
                <w:tcPr>
                  <w:tcW w:w="0" w:type="auto"/>
                  <w:vAlign w:val="center"/>
                </w:tcPr>
                <w:p>
                  <w:pPr>
                    <w:pStyle w:val="20"/>
                    <w:rPr>
                      <w:rFonts w:hint="default" w:eastAsia="宋体"/>
                      <w:vertAlign w:val="baseline"/>
                      <w:lang w:val="en-US" w:eastAsia="zh-CN"/>
                    </w:rPr>
                  </w:pPr>
                  <w:r>
                    <w:rPr>
                      <w:rFonts w:hint="eastAsia"/>
                      <w:lang w:val="en-US" w:eastAsia="zh-CN"/>
                    </w:rPr>
                    <w:t>要求及时签订一般固废回收协议</w:t>
                  </w:r>
                </w:p>
              </w:tc>
              <w:tc>
                <w:tcPr>
                  <w:tcW w:w="0" w:type="auto"/>
                  <w:vAlign w:val="center"/>
                </w:tcPr>
                <w:p>
                  <w:pPr>
                    <w:pStyle w:val="20"/>
                    <w:rPr>
                      <w:rFonts w:hint="default"/>
                      <w:vertAlign w:val="baseline"/>
                      <w:lang w:val="en-US" w:eastAsia="zh-CN"/>
                    </w:rPr>
                  </w:pPr>
                  <w:r>
                    <w:rPr>
                      <w:rFonts w:hint="eastAsia"/>
                      <w:vertAlign w:val="baseline"/>
                      <w:lang w:val="en-US" w:eastAsia="zh-CN"/>
                    </w:rPr>
                    <w:t>2025年9月底</w:t>
                  </w:r>
                </w:p>
              </w:tc>
            </w:tr>
          </w:tbl>
          <w:p>
            <w:pPr>
              <w:rPr>
                <w:rFonts w:hint="default"/>
                <w:lang w:val="en-US" w:eastAsia="zh-CN"/>
              </w:rPr>
            </w:pPr>
          </w:p>
        </w:tc>
      </w:tr>
    </w:tbl>
    <w:p>
      <w:pPr>
        <w:pStyle w:val="4"/>
        <w:numPr>
          <w:ilvl w:val="-1"/>
          <w:numId w:val="0"/>
        </w:numPr>
        <w:rPr>
          <w:rFonts w:hint="eastAsia"/>
          <w:lang w:val="en-US" w:eastAsia="zh-CN"/>
        </w:rPr>
        <w:sectPr>
          <w:pgSz w:w="11906" w:h="16838"/>
          <w:pgMar w:top="1440" w:right="1800" w:bottom="1440" w:left="1800" w:header="851" w:footer="992" w:gutter="0"/>
          <w:pgNumType w:fmt="decimal"/>
          <w:cols w:space="425" w:num="1"/>
          <w:docGrid w:type="lines" w:linePitch="312" w:charSpace="0"/>
        </w:sectPr>
      </w:pPr>
      <w:bookmarkStart w:id="17" w:name="_Toc14600"/>
      <w:bookmarkStart w:id="18" w:name="_Toc16782_WPSOffice_Level1"/>
      <w:bookmarkStart w:id="19" w:name="_Toc27416"/>
      <w:bookmarkStart w:id="20" w:name="_Toc11424"/>
    </w:p>
    <w:p>
      <w:pPr>
        <w:pStyle w:val="4"/>
        <w:numPr>
          <w:ilvl w:val="-1"/>
          <w:numId w:val="0"/>
        </w:numPr>
      </w:pPr>
      <w:r>
        <w:rPr>
          <w:rFonts w:hint="eastAsia"/>
          <w:lang w:val="en-US" w:eastAsia="zh-CN"/>
        </w:rPr>
        <w:t>三、</w:t>
      </w:r>
      <w:r>
        <w:rPr>
          <w:rFonts w:hint="eastAsia"/>
        </w:rPr>
        <w:t>区域环境质量现状、环境保护目标及评价标准</w:t>
      </w:r>
      <w:bookmarkEnd w:id="17"/>
      <w:bookmarkEnd w:id="18"/>
      <w:bookmarkEnd w:id="19"/>
      <w:bookmarkEnd w:id="20"/>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1" w:type="dxa"/>
            <w:vAlign w:val="center"/>
          </w:tcPr>
          <w:p>
            <w:pPr>
              <w:adjustRightInd w:val="0"/>
              <w:ind w:firstLine="0" w:firstLineChars="0"/>
              <w:jc w:val="center"/>
            </w:pPr>
            <w:r>
              <w:t>区域</w:t>
            </w:r>
          </w:p>
          <w:p>
            <w:pPr>
              <w:adjustRightInd w:val="0"/>
              <w:ind w:firstLine="0" w:firstLineChars="0"/>
              <w:jc w:val="center"/>
            </w:pPr>
            <w:r>
              <w:t>环境</w:t>
            </w:r>
          </w:p>
          <w:p>
            <w:pPr>
              <w:adjustRightInd w:val="0"/>
              <w:ind w:firstLine="0" w:firstLineChars="0"/>
              <w:jc w:val="center"/>
            </w:pPr>
            <w:r>
              <w:t>质量</w:t>
            </w:r>
          </w:p>
          <w:p>
            <w:pPr>
              <w:ind w:firstLine="0" w:firstLineChars="0"/>
              <w:jc w:val="center"/>
            </w:pPr>
            <w:r>
              <w:t>现状</w:t>
            </w:r>
          </w:p>
        </w:tc>
        <w:tc>
          <w:tcPr>
            <w:tcW w:w="7999" w:type="dxa"/>
          </w:tcPr>
          <w:p>
            <w:pPr>
              <w:pStyle w:val="5"/>
              <w:spacing w:before="0"/>
              <w:rPr>
                <w:rFonts w:hint="default"/>
              </w:rPr>
            </w:pPr>
            <w:bookmarkStart w:id="21" w:name="_Toc164059945"/>
            <w:bookmarkStart w:id="22" w:name="_Toc168277998"/>
            <w:bookmarkStart w:id="23" w:name="_Toc168727384"/>
            <w:bookmarkStart w:id="24" w:name="_Toc349997665"/>
            <w:r>
              <w:t>3.1区域环境质量现状</w:t>
            </w:r>
          </w:p>
          <w:p>
            <w:pPr>
              <w:pStyle w:val="6"/>
            </w:pPr>
            <w:r>
              <w:t>3.1.1</w:t>
            </w:r>
            <w:bookmarkEnd w:id="21"/>
            <w:bookmarkEnd w:id="22"/>
            <w:bookmarkEnd w:id="23"/>
            <w:r>
              <w:t>环境空气质量现状</w:t>
            </w:r>
          </w:p>
          <w:p>
            <w:pPr>
              <w:ind w:firstLine="422"/>
              <w:rPr>
                <w:b/>
              </w:rPr>
            </w:pPr>
            <w:r>
              <w:rPr>
                <w:rFonts w:hint="eastAsia"/>
                <w:b/>
                <w:lang w:val="en-US" w:eastAsia="zh-CN"/>
              </w:rPr>
              <w:t>1、</w:t>
            </w:r>
            <w:r>
              <w:rPr>
                <w:rFonts w:hint="eastAsia"/>
                <w:b/>
              </w:rPr>
              <w:t>基本污染物</w:t>
            </w:r>
          </w:p>
          <w:bookmarkEnd w:id="24"/>
          <w:p>
            <w:pPr>
              <w:ind w:firstLine="420"/>
              <w:rPr>
                <w:rFonts w:hint="eastAsia"/>
              </w:rPr>
            </w:pPr>
            <w:r>
              <w:rPr>
                <w:rFonts w:hint="eastAsia"/>
              </w:rPr>
              <w:t>根据区域环境空气质量功能区分类，本项目所在区域属于二类区，环境空气常规污染物执行《环境空气质量标准》（GB3095-2012）中的二级标准及其修改单（生态环境部公告2018年第29号）。根据《嘉兴市2024年生态环境状况公报》，2024 年除桐乡市外其余县级城市环境空气质量均达到二级标准。各县（市）环境空气细颗粒物（PM</w:t>
            </w:r>
            <w:r>
              <w:rPr>
                <w:rFonts w:hint="eastAsia"/>
                <w:vertAlign w:val="subscript"/>
              </w:rPr>
              <w:t>2.5</w:t>
            </w:r>
            <w:r>
              <w:rPr>
                <w:rFonts w:hint="eastAsia"/>
              </w:rPr>
              <w:t>）年均值浓度范围为24-28μg/m</w:t>
            </w:r>
            <w:r>
              <w:rPr>
                <w:rFonts w:hint="eastAsia"/>
                <w:vertAlign w:val="superscript"/>
              </w:rPr>
              <w:t>3</w:t>
            </w:r>
            <w:r>
              <w:rPr>
                <w:rFonts w:hint="eastAsia"/>
              </w:rPr>
              <w:t>；臭氧（O</w:t>
            </w:r>
            <w:r>
              <w:rPr>
                <w:rFonts w:hint="eastAsia"/>
                <w:vertAlign w:val="subscript"/>
              </w:rPr>
              <w:t>3</w:t>
            </w:r>
            <w:r>
              <w:rPr>
                <w:rFonts w:hint="eastAsia"/>
              </w:rPr>
              <w:t>）最大8小时滑动平均90百分位浓度范围为134-154μg/m</w:t>
            </w:r>
            <w:r>
              <w:rPr>
                <w:rFonts w:hint="eastAsia"/>
                <w:vertAlign w:val="superscript"/>
              </w:rPr>
              <w:t>3</w:t>
            </w:r>
            <w:r>
              <w:rPr>
                <w:rFonts w:hint="eastAsia"/>
              </w:rPr>
              <w:t>。各县（市）优良天数比例范围为87.7-95.1%，桐乡市最低，平湖市最高。因此，海宁市2024年度环境空气质量达标，属于达标区。</w:t>
            </w:r>
          </w:p>
          <w:p>
            <w:pPr>
              <w:ind w:firstLine="422"/>
              <w:rPr>
                <w:b/>
                <w:bCs/>
              </w:rPr>
            </w:pPr>
            <w:r>
              <w:rPr>
                <w:rFonts w:hint="eastAsia"/>
                <w:b/>
                <w:bCs/>
                <w:lang w:val="en-US" w:eastAsia="zh-CN"/>
              </w:rPr>
              <w:t>2、</w:t>
            </w:r>
            <w:r>
              <w:rPr>
                <w:rFonts w:hint="eastAsia"/>
                <w:b/>
                <w:bCs/>
              </w:rPr>
              <w:t>其他污染物</w:t>
            </w:r>
          </w:p>
          <w:p>
            <w:pPr>
              <w:ind w:firstLine="420"/>
            </w:pPr>
            <w:r>
              <w:t>为</w:t>
            </w:r>
            <w:r>
              <w:rPr>
                <w:rFonts w:hint="eastAsia"/>
              </w:rPr>
              <w:t>了解本项目所在地</w:t>
            </w:r>
            <w:r>
              <w:t>环境质量现状，</w:t>
            </w:r>
            <w:r>
              <w:rPr>
                <w:rFonts w:hint="eastAsia"/>
              </w:rPr>
              <w:t>本次环评引用2024年11月22日～2024年11月28日浙江云广检测技术有限公司在附近的检测结果（报告编号：YGJC(HJ)-242014-001、YGJC(HJ)-242014-002）进行说明，</w:t>
            </w:r>
            <w:r>
              <w:rPr>
                <w:rFonts w:hint="eastAsia"/>
                <w:lang w:val="en-US" w:eastAsia="zh-CN"/>
              </w:rPr>
              <w:t>检测点位位于本企业东南侧4.4km处，检测因为为TSP、非甲烷总烃。</w:t>
            </w:r>
            <w:r>
              <w:rPr>
                <w:rFonts w:hint="eastAsia"/>
              </w:rPr>
              <w:t>具体监测结果如下。</w:t>
            </w:r>
          </w:p>
          <w:p>
            <w:pPr>
              <w:spacing w:line="240" w:lineRule="auto"/>
              <w:ind w:firstLine="0" w:firstLineChars="0"/>
              <w:jc w:val="center"/>
              <w:rPr>
                <w:rFonts w:hint="default"/>
                <w:b/>
                <w:bCs/>
                <w:color w:val="000000" w:themeColor="text1"/>
                <w:spacing w:val="-2"/>
                <w:sz w:val="21"/>
                <w:szCs w:val="21"/>
                <w:lang w:val="en-US" w:eastAsia="zh-CN"/>
                <w14:textFill>
                  <w14:solidFill>
                    <w14:schemeClr w14:val="tx1"/>
                  </w14:solidFill>
                </w14:textFill>
              </w:rPr>
            </w:pPr>
            <w:r>
              <w:rPr>
                <w:b/>
                <w:bCs/>
                <w:color w:val="000000" w:themeColor="text1"/>
                <w:spacing w:val="-2"/>
                <w:sz w:val="18"/>
                <w:szCs w:val="18"/>
                <w14:textFill>
                  <w14:solidFill>
                    <w14:schemeClr w14:val="tx1"/>
                  </w14:solidFill>
                </w14:textFill>
              </w:rPr>
              <w:object>
                <v:shape id="_x0000_i1029" o:spt="75" type="#_x0000_t75" style="height:140.35pt;width:400.75pt;" o:ole="t" filled="f" o:preferrelative="t" stroked="f" coordsize="21600,21600">
                  <v:path/>
                  <v:fill on="f" focussize="0,0"/>
                  <v:stroke on="f"/>
                  <v:imagedata r:id="rId47" o:title=""/>
                  <o:lock v:ext="edit" aspectratio="f"/>
                  <w10:wrap type="none"/>
                  <w10:anchorlock/>
                </v:shape>
                <o:OLEObject Type="Embed" ProgID="Visio.Drawing.15" ShapeID="_x0000_i1029" DrawAspect="Content" ObjectID="_1468075729" r:id="rId46">
                  <o:LockedField>false</o:LockedField>
                </o:OLEObject>
              </w:object>
            </w:r>
            <w:r>
              <w:rPr>
                <w:rFonts w:hint="eastAsia"/>
                <w:b/>
                <w:bCs/>
                <w:color w:val="000000" w:themeColor="text1"/>
                <w:spacing w:val="-2"/>
                <w:sz w:val="21"/>
                <w:szCs w:val="21"/>
                <w:lang w:val="en-US" w:eastAsia="zh-CN"/>
                <w14:textFill>
                  <w14:solidFill>
                    <w14:schemeClr w14:val="tx1"/>
                  </w14:solidFill>
                </w14:textFill>
              </w:rPr>
              <w:t>图3.1-1  环境现状监测点位</w:t>
            </w:r>
          </w:p>
          <w:p>
            <w:pPr>
              <w:spacing w:line="240" w:lineRule="auto"/>
              <w:ind w:firstLine="0" w:firstLineChars="0"/>
              <w:jc w:val="center"/>
              <w:rPr>
                <w:b/>
                <w:bCs/>
                <w:color w:val="000000" w:themeColor="text1"/>
                <w:spacing w:val="-2"/>
                <w:sz w:val="21"/>
                <w:szCs w:val="21"/>
                <w14:textFill>
                  <w14:solidFill>
                    <w14:schemeClr w14:val="tx1"/>
                  </w14:solidFill>
                </w14:textFill>
              </w:rPr>
            </w:pPr>
            <w:r>
              <w:rPr>
                <w:b/>
                <w:bCs/>
                <w:color w:val="000000" w:themeColor="text1"/>
                <w:spacing w:val="-2"/>
                <w:sz w:val="21"/>
                <w:szCs w:val="21"/>
                <w14:textFill>
                  <w14:solidFill>
                    <w14:schemeClr w14:val="tx1"/>
                  </w14:solidFill>
                </w14:textFill>
              </w:rPr>
              <w:t>表3.1-</w:t>
            </w:r>
            <w:r>
              <w:rPr>
                <w:rFonts w:hint="eastAsia"/>
                <w:b/>
                <w:bCs/>
                <w:color w:val="000000" w:themeColor="text1"/>
                <w:spacing w:val="-2"/>
                <w:sz w:val="21"/>
                <w:szCs w:val="21"/>
                <w14:textFill>
                  <w14:solidFill>
                    <w14:schemeClr w14:val="tx1"/>
                  </w14:solidFill>
                </w14:textFill>
              </w:rPr>
              <w:t xml:space="preserve">1 </w:t>
            </w:r>
            <w:r>
              <w:rPr>
                <w:rFonts w:hint="eastAsia"/>
                <w:b/>
                <w:bCs/>
                <w:color w:val="000000" w:themeColor="text1"/>
                <w:spacing w:val="-2"/>
                <w:sz w:val="21"/>
                <w:szCs w:val="21"/>
                <w:lang w:val="en-US" w:eastAsia="zh-CN"/>
                <w14:textFill>
                  <w14:solidFill>
                    <w14:schemeClr w14:val="tx1"/>
                  </w14:solidFill>
                </w14:textFill>
              </w:rPr>
              <w:t xml:space="preserve"> </w:t>
            </w:r>
            <w:r>
              <w:rPr>
                <w:rFonts w:hint="eastAsia"/>
                <w:b/>
                <w:bCs/>
                <w:color w:val="000000" w:themeColor="text1"/>
                <w:spacing w:val="-2"/>
                <w:sz w:val="21"/>
                <w:szCs w:val="21"/>
                <w14:textFill>
                  <w14:solidFill>
                    <w14:schemeClr w14:val="tx1"/>
                  </w14:solidFill>
                </w14:textFill>
              </w:rPr>
              <w:t>非甲烷总烃监测结果</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893"/>
              <w:gridCol w:w="1124"/>
              <w:gridCol w:w="1431"/>
              <w:gridCol w:w="1278"/>
              <w:gridCol w:w="1068"/>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41" w:type="dxa"/>
                  <w:vMerge w:val="restart"/>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监测点名称</w:t>
                  </w:r>
                </w:p>
              </w:tc>
              <w:tc>
                <w:tcPr>
                  <w:tcW w:w="864" w:type="dxa"/>
                  <w:vMerge w:val="restart"/>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监测</w:t>
                  </w:r>
                </w:p>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因子</w:t>
                  </w:r>
                </w:p>
              </w:tc>
              <w:tc>
                <w:tcPr>
                  <w:tcW w:w="5514" w:type="dxa"/>
                  <w:gridSpan w:val="5"/>
                  <w:vAlign w:val="center"/>
                </w:tcPr>
                <w:p>
                  <w:pPr>
                    <w:pStyle w:val="20"/>
                    <w:rPr>
                      <w:color w:val="000000" w:themeColor="text1"/>
                      <w14:textFill>
                        <w14:solidFill>
                          <w14:schemeClr w14:val="tx1"/>
                        </w14:solidFill>
                      </w14:textFill>
                    </w:rPr>
                  </w:pPr>
                  <w:r>
                    <w:rPr>
                      <w:spacing w:val="7"/>
                      <w:position w:val="1"/>
                    </w:rPr>
                    <w:t>一次值</w:t>
                  </w:r>
                  <w:r>
                    <w:rPr>
                      <w:rFonts w:eastAsia="Times New Roman"/>
                      <w:spacing w:val="7"/>
                      <w:position w:val="1"/>
                    </w:rPr>
                    <w:t>/</w:t>
                  </w:r>
                  <w:r>
                    <w:rPr>
                      <w:spacing w:val="7"/>
                      <w:position w:val="1"/>
                    </w:rPr>
                    <w:t>小时值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vMerge w:val="continue"/>
                  <w:vAlign w:val="center"/>
                </w:tcPr>
                <w:p>
                  <w:pPr>
                    <w:pStyle w:val="20"/>
                    <w:rPr>
                      <w:color w:val="000000" w:themeColor="text1"/>
                      <w14:textFill>
                        <w14:solidFill>
                          <w14:schemeClr w14:val="tx1"/>
                        </w14:solidFill>
                      </w14:textFill>
                    </w:rPr>
                  </w:pPr>
                </w:p>
              </w:tc>
              <w:tc>
                <w:tcPr>
                  <w:tcW w:w="864" w:type="dxa"/>
                  <w:vMerge w:val="continue"/>
                  <w:vAlign w:val="center"/>
                </w:tcPr>
                <w:p>
                  <w:pPr>
                    <w:pStyle w:val="20"/>
                    <w:rPr>
                      <w:color w:val="000000" w:themeColor="text1"/>
                      <w14:textFill>
                        <w14:solidFill>
                          <w14:schemeClr w14:val="tx1"/>
                        </w14:solidFill>
                      </w14:textFill>
                    </w:rPr>
                  </w:pPr>
                </w:p>
              </w:tc>
              <w:tc>
                <w:tcPr>
                  <w:tcW w:w="1088" w:type="dxa"/>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评价标准（</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1385" w:type="dxa"/>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监测浓度范围（</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1237" w:type="dxa"/>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最大浓度占标率(%)</w:t>
                  </w:r>
                </w:p>
              </w:tc>
              <w:tc>
                <w:tcPr>
                  <w:tcW w:w="1034" w:type="dxa"/>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超标频率(%)</w:t>
                  </w:r>
                </w:p>
              </w:tc>
              <w:tc>
                <w:tcPr>
                  <w:tcW w:w="770" w:type="dxa"/>
                  <w:vAlign w:val="center"/>
                </w:tcPr>
                <w:p>
                  <w:pPr>
                    <w:pStyle w:val="20"/>
                    <w:rPr>
                      <w:color w:val="000000" w:themeColor="text1"/>
                      <w14:textFill>
                        <w14:solidFill>
                          <w14:schemeClr w14:val="tx1"/>
                        </w14:solidFill>
                      </w14:textFill>
                    </w:rPr>
                  </w:pPr>
                  <w:r>
                    <w:rPr>
                      <w:color w:val="000000" w:themeColor="text1"/>
                      <w14:textFill>
                        <w14:solidFill>
                          <w14:schemeClr w14:val="tx1"/>
                        </w14:solidFill>
                      </w14:textFill>
                    </w:rPr>
                    <w:t>达标</w:t>
                  </w:r>
                </w:p>
                <w:p>
                  <w:pPr>
                    <w:pStyle w:val="20"/>
                    <w:rPr>
                      <w:color w:val="000000" w:themeColor="text1"/>
                      <w14:textFill>
                        <w14:solidFill>
                          <w14:schemeClr w14:val="tx1"/>
                        </w14:solidFill>
                      </w14:textFill>
                    </w:rPr>
                  </w:pPr>
                  <w:r>
                    <w:rPr>
                      <w:color w:val="000000" w:themeColor="text1"/>
                      <w14:textFill>
                        <w14:solidFill>
                          <w14:schemeClr w14:val="tx1"/>
                        </w14:solidFill>
                      </w14:textFill>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241" w:type="dxa"/>
                  <w:vMerge w:val="restart"/>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浙江凯耀照明有限责任公司</w:t>
                  </w:r>
                </w:p>
              </w:tc>
              <w:tc>
                <w:tcPr>
                  <w:tcW w:w="864" w:type="dxa"/>
                  <w:vAlign w:val="center"/>
                </w:tcPr>
                <w:p>
                  <w:pPr>
                    <w:pStyle w:val="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非甲烷总烃</w:t>
                  </w:r>
                </w:p>
              </w:tc>
              <w:tc>
                <w:tcPr>
                  <w:tcW w:w="1088" w:type="dxa"/>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1385" w:type="dxa"/>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0.063~1.07</w:t>
                  </w:r>
                </w:p>
              </w:tc>
              <w:tc>
                <w:tcPr>
                  <w:tcW w:w="1237" w:type="dxa"/>
                  <w:vAlign w:val="center"/>
                </w:tcPr>
                <w:p>
                  <w:pPr>
                    <w:pStyle w:val="2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53.5</w:t>
                  </w:r>
                </w:p>
              </w:tc>
              <w:tc>
                <w:tcPr>
                  <w:tcW w:w="1034" w:type="dxa"/>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770" w:type="dxa"/>
                  <w:vAlign w:val="center"/>
                </w:tcPr>
                <w:p>
                  <w:pPr>
                    <w:pStyle w:val="20"/>
                    <w:rPr>
                      <w:color w:val="000000" w:themeColor="text1"/>
                      <w14:textFill>
                        <w14:solidFill>
                          <w14:schemeClr w14:val="tx1"/>
                        </w14:solidFill>
                      </w14:textFill>
                    </w:rPr>
                  </w:pPr>
                  <w:r>
                    <w:rPr>
                      <w:rFonts w:hint="eastAsia"/>
                      <w:color w:val="000000" w:themeColor="text1"/>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241" w:type="dxa"/>
                  <w:vMerge w:val="continue"/>
                  <w:vAlign w:val="center"/>
                </w:tcPr>
                <w:p>
                  <w:pPr>
                    <w:pStyle w:val="20"/>
                    <w:rPr>
                      <w:rFonts w:hint="eastAsia"/>
                      <w:color w:val="000000" w:themeColor="text1"/>
                      <w14:textFill>
                        <w14:solidFill>
                          <w14:schemeClr w14:val="tx1"/>
                        </w14:solidFill>
                      </w14:textFill>
                    </w:rPr>
                  </w:pPr>
                </w:p>
              </w:tc>
              <w:tc>
                <w:tcPr>
                  <w:tcW w:w="864" w:type="dxa"/>
                  <w:vAlign w:val="center"/>
                </w:tcPr>
                <w:p>
                  <w:pPr>
                    <w:pStyle w:val="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TSP</w:t>
                  </w:r>
                </w:p>
              </w:tc>
              <w:tc>
                <w:tcPr>
                  <w:tcW w:w="1088" w:type="dxa"/>
                  <w:vAlign w:val="center"/>
                </w:tcPr>
                <w:p>
                  <w:pPr>
                    <w:pStyle w:val="2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w:t>
                  </w:r>
                </w:p>
              </w:tc>
              <w:tc>
                <w:tcPr>
                  <w:tcW w:w="1385" w:type="dxa"/>
                  <w:vAlign w:val="center"/>
                </w:tcPr>
                <w:p>
                  <w:pPr>
                    <w:pStyle w:val="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0.143~0.162</w:t>
                  </w:r>
                </w:p>
              </w:tc>
              <w:tc>
                <w:tcPr>
                  <w:tcW w:w="1237" w:type="dxa"/>
                  <w:vAlign w:val="center"/>
                </w:tcPr>
                <w:p>
                  <w:pPr>
                    <w:pStyle w:val="2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54</w:t>
                  </w:r>
                </w:p>
              </w:tc>
              <w:tc>
                <w:tcPr>
                  <w:tcW w:w="1034" w:type="dxa"/>
                  <w:vAlign w:val="center"/>
                </w:tcPr>
                <w:p>
                  <w:pPr>
                    <w:pStyle w:val="20"/>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w:t>
                  </w:r>
                </w:p>
              </w:tc>
              <w:tc>
                <w:tcPr>
                  <w:tcW w:w="770" w:type="dxa"/>
                  <w:vAlign w:val="center"/>
                </w:tcPr>
                <w:p>
                  <w:pPr>
                    <w:pStyle w:val="20"/>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达标</w:t>
                  </w:r>
                </w:p>
              </w:tc>
            </w:tr>
          </w:tbl>
          <w:p>
            <w:pPr>
              <w:ind w:firstLine="420"/>
            </w:pPr>
            <w:r>
              <w:t>根据监测结果可知，项目所在区域的非甲烷总烃浓度值满足《大气污染物综合排放标准详解》中一次值浓度限值；TSP浓度值满足《环境空气质量标准》（GB3095-2012）及修改单中二级标准要求。</w:t>
            </w:r>
          </w:p>
          <w:p>
            <w:pPr>
              <w:pStyle w:val="6"/>
              <w:bidi w:val="0"/>
              <w:rPr>
                <w:rFonts w:hint="default"/>
              </w:rPr>
            </w:pPr>
            <w:r>
              <w:rPr>
                <w:rFonts w:hint="eastAsia"/>
                <w:lang w:val="en-US" w:eastAsia="zh-CN"/>
              </w:rPr>
              <w:t>3.1.2</w:t>
            </w:r>
            <w:r>
              <w:t>地表水环境质量现状</w:t>
            </w:r>
          </w:p>
          <w:p>
            <w:pPr>
              <w:bidi w:val="0"/>
              <w:rPr>
                <w:rFonts w:hint="eastAsia"/>
              </w:rPr>
            </w:pPr>
            <w:bookmarkStart w:id="25" w:name="_Toc168727386"/>
            <w:bookmarkStart w:id="26" w:name="_Toc164059947"/>
            <w:bookmarkStart w:id="27" w:name="_Toc168278000"/>
            <w:r>
              <w:rPr>
                <w:rFonts w:hint="eastAsia"/>
              </w:rPr>
              <w:t>根据《浙江省水功能区水环境功能区划分方案(2015)》，项目区域现状河道为新塘河的支流，编号为杭嘉湖48，水功能区为“新塘河海宁农业、渔业用水区(编号：F1203102803023)”，水环境功能区为“农业、渔业用水区(编号：330481FM220227000250)”，目标水质为III类，执行《地表水环境质量标准》(GB3838-2002)III类标准。</w:t>
            </w:r>
          </w:p>
          <w:p>
            <w:pPr>
              <w:bidi w:val="0"/>
              <w:rPr>
                <w:rFonts w:hint="eastAsia"/>
                <w:lang w:val="en-US" w:eastAsia="zh-CN"/>
              </w:rPr>
            </w:pPr>
            <w:r>
              <w:rPr>
                <w:rFonts w:hint="eastAsia"/>
                <w:lang w:val="en-US" w:eastAsia="zh-CN"/>
              </w:rPr>
              <w:t>根据《嘉兴市生态环境状况公报（2024年）》，2024年嘉兴市83个市控以上地表水监测断面水质中Ⅱ类12个、Ⅲ类71个，分别占14.5%、85.5%。与2023年相比，Ⅲ类及以上断面比例上升1.2个百分点，Ⅳ类断面比例下降1.2个百分点。83个断面主要污染物高锰酸盐指数、氨氮和总磷年均值浓度分别为4.0mg/L、0.37mg/L和0.134mg/L，同比高锰酸盐指数下降2.4%，氨氮和总磷分别上升8.8%和3.9%。</w:t>
            </w:r>
          </w:p>
          <w:p>
            <w:pPr>
              <w:pStyle w:val="6"/>
              <w:bidi w:val="0"/>
              <w:rPr>
                <w:rFonts w:hint="default"/>
              </w:rPr>
            </w:pPr>
            <w:r>
              <w:rPr>
                <w:rFonts w:hint="eastAsia"/>
                <w:lang w:val="en-US" w:eastAsia="zh-CN"/>
              </w:rPr>
              <w:t>3.1.3</w:t>
            </w:r>
            <w:r>
              <w:t>声环境</w:t>
            </w:r>
            <w:bookmarkEnd w:id="25"/>
            <w:bookmarkEnd w:id="26"/>
            <w:bookmarkEnd w:id="27"/>
            <w:r>
              <w:t>质量现状</w:t>
            </w:r>
          </w:p>
          <w:p>
            <w:pPr>
              <w:ind w:firstLine="420"/>
            </w:pPr>
            <w:r>
              <w:rPr>
                <w:rFonts w:hint="eastAsia"/>
              </w:rPr>
              <w:t>本项目周边50m内无敏感点，因此本环评无需开展现状调查。</w:t>
            </w:r>
          </w:p>
          <w:p>
            <w:pPr>
              <w:pStyle w:val="6"/>
              <w:bidi w:val="0"/>
              <w:rPr>
                <w:rFonts w:hint="default"/>
              </w:rPr>
            </w:pPr>
            <w:r>
              <w:rPr>
                <w:rFonts w:hint="eastAsia"/>
                <w:lang w:val="en-US" w:eastAsia="zh-CN"/>
              </w:rPr>
              <w:t>3.1.4</w:t>
            </w:r>
            <w:r>
              <w:t>生态环境</w:t>
            </w:r>
          </w:p>
          <w:p>
            <w:pPr>
              <w:ind w:firstLine="420"/>
            </w:pPr>
            <w:r>
              <w:rPr>
                <w:rFonts w:hint="eastAsia"/>
              </w:rPr>
              <w:t>本项目位于产业园区内，本项目不涉及新增用地，且项目周围主要为企业、城市道路、空地等，无大面积的自然植被群落及珍稀动植物资源等生态环境保护目标，因此，本环评无需进行生态环境现状调查。</w:t>
            </w:r>
          </w:p>
          <w:p>
            <w:pPr>
              <w:pStyle w:val="6"/>
              <w:bidi w:val="0"/>
              <w:rPr>
                <w:rFonts w:hint="default"/>
              </w:rPr>
            </w:pPr>
            <w:r>
              <w:rPr>
                <w:rFonts w:hint="eastAsia"/>
                <w:lang w:val="en-US" w:eastAsia="zh-CN"/>
              </w:rPr>
              <w:t>3.1.5</w:t>
            </w:r>
            <w:r>
              <w:t>电磁辐射现状</w:t>
            </w:r>
          </w:p>
          <w:p>
            <w:pPr>
              <w:adjustRightInd w:val="0"/>
              <w:ind w:firstLine="420"/>
              <w:rPr>
                <w:bCs/>
              </w:rPr>
            </w:pPr>
            <w:r>
              <w:rPr>
                <w:rFonts w:hint="eastAsia"/>
                <w:bCs/>
              </w:rPr>
              <w:t>本项目属于不涉及新建或改建、扩建广播电台、差转台、电视塔台、卫星地球上行站、雷达等电磁辐射类项目，因此，无需进行电磁辐射现状监测与评价。</w:t>
            </w:r>
          </w:p>
          <w:p>
            <w:pPr>
              <w:pStyle w:val="6"/>
              <w:bidi w:val="0"/>
              <w:rPr>
                <w:rFonts w:hint="default"/>
              </w:rPr>
            </w:pPr>
            <w:r>
              <w:rPr>
                <w:rFonts w:hint="eastAsia"/>
                <w:lang w:val="en-US" w:eastAsia="zh-CN"/>
              </w:rPr>
              <w:t>3.1.6</w:t>
            </w:r>
            <w:r>
              <w:t>地下水、土壤环境质量现状</w:t>
            </w:r>
          </w:p>
          <w:p>
            <w:pPr>
              <w:ind w:firstLine="420"/>
            </w:pPr>
            <w:r>
              <w:rPr>
                <w:rFonts w:hint="eastAsia"/>
              </w:rPr>
              <w:t>根据《建设项目环境影响报告表编制技术指南（污染影响类）（试行）》：原则上不开展环境质量现状调查。建设项目存在土壤、地下水环境污染途径的，应结合污染源、保护目标分布情况开展现状调查以留作背景值。项目利用现有厂房从事</w:t>
            </w:r>
            <w:r>
              <w:rPr>
                <w:rFonts w:hint="eastAsia"/>
                <w:lang w:val="en-US" w:eastAsia="zh-CN"/>
              </w:rPr>
              <w:t>生产</w:t>
            </w:r>
            <w:r>
              <w:rPr>
                <w:rFonts w:hint="eastAsia"/>
              </w:rPr>
              <w:t>活动，厂房地面已全部做好硬化处理及防渗措施，无土壤、地下水环境污染途径的，故不开展土壤、地下水环境质量检测。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1" w:type="dxa"/>
            <w:vAlign w:val="center"/>
          </w:tcPr>
          <w:p>
            <w:pPr>
              <w:ind w:firstLine="0" w:firstLineChars="0"/>
              <w:jc w:val="center"/>
            </w:pPr>
            <w:r>
              <w:rPr>
                <w:rFonts w:hint="eastAsia"/>
              </w:rPr>
              <w:t>环境保护目标</w:t>
            </w:r>
          </w:p>
        </w:tc>
        <w:tc>
          <w:tcPr>
            <w:tcW w:w="7999" w:type="dxa"/>
          </w:tcPr>
          <w:p>
            <w:pPr>
              <w:pStyle w:val="5"/>
              <w:bidi w:val="0"/>
              <w:rPr>
                <w:rFonts w:hint="default"/>
              </w:rPr>
            </w:pPr>
            <w:r>
              <w:rPr>
                <w:rFonts w:hint="eastAsia"/>
                <w:lang w:val="en-US" w:eastAsia="zh-CN"/>
              </w:rPr>
              <w:t>3.2</w:t>
            </w:r>
            <w:r>
              <w:t>环境保护目标</w:t>
            </w:r>
          </w:p>
          <w:p>
            <w:pPr>
              <w:bidi w:val="0"/>
            </w:pPr>
            <w:r>
              <w:t>本项目位于</w:t>
            </w:r>
            <w:r>
              <w:rPr>
                <w:rFonts w:hint="eastAsia"/>
                <w:lang w:eastAsia="zh-CN"/>
              </w:rPr>
              <w:t>嘉兴市海宁市黄湾镇尖山新区向心路8号</w:t>
            </w:r>
            <w:r>
              <w:t>。根据调查，项目所在区域主要保护目标如下：</w:t>
            </w:r>
          </w:p>
          <w:p>
            <w:pPr>
              <w:bidi w:val="0"/>
            </w:pPr>
            <w:r>
              <w:t>（1）</w:t>
            </w:r>
            <w:r>
              <w:rPr>
                <w:rFonts w:hint="eastAsia"/>
              </w:rPr>
              <w:t>大气环境</w:t>
            </w:r>
            <w:r>
              <w:t>：</w:t>
            </w:r>
            <w:r>
              <w:rPr>
                <w:rFonts w:hint="eastAsia"/>
              </w:rPr>
              <w:t>项目厂界外500m范围内现状无环境空气保护目标，对照《海宁经济开发区尖山新区总体规划图》，现状及规划均无环境空气保护目标</w:t>
            </w:r>
            <w:r>
              <w:t>。</w:t>
            </w:r>
          </w:p>
          <w:p>
            <w:pPr>
              <w:bidi w:val="0"/>
            </w:pPr>
            <w:r>
              <w:t>（2）地下水</w:t>
            </w:r>
            <w:r>
              <w:rPr>
                <w:rFonts w:hint="eastAsia"/>
              </w:rPr>
              <w:t>环境：</w:t>
            </w:r>
            <w:r>
              <w:t>项目所在区域附近</w:t>
            </w:r>
            <w:r>
              <w:rPr>
                <w:rFonts w:hint="eastAsia"/>
                <w:lang w:val="en-US" w:eastAsia="zh-CN"/>
              </w:rPr>
              <w:t>500m</w:t>
            </w:r>
            <w:r>
              <w:t>范围内</w:t>
            </w:r>
            <w:r>
              <w:rPr>
                <w:rFonts w:hint="eastAsia"/>
              </w:rPr>
              <w:t>无</w:t>
            </w:r>
            <w:r>
              <w:t>地下水</w:t>
            </w:r>
            <w:r>
              <w:rPr>
                <w:rFonts w:hint="eastAsia"/>
              </w:rPr>
              <w:t>集中式饮用水水源和热水、矿泉水、温泉等特殊地下水资源</w:t>
            </w:r>
            <w:r>
              <w:t>。</w:t>
            </w:r>
          </w:p>
          <w:p>
            <w:pPr>
              <w:bidi w:val="0"/>
            </w:pPr>
            <w:r>
              <w:t>（</w:t>
            </w:r>
            <w:r>
              <w:rPr>
                <w:rFonts w:hint="eastAsia"/>
                <w:lang w:val="en-US" w:eastAsia="zh-CN"/>
              </w:rPr>
              <w:t>3</w:t>
            </w:r>
            <w:r>
              <w:t>）声环境：</w:t>
            </w:r>
            <w:r>
              <w:rPr>
                <w:rFonts w:hint="eastAsia"/>
              </w:rPr>
              <w:t>企业厂界外50m范围内无声环境保护目标</w:t>
            </w:r>
            <w:r>
              <w:t>。</w:t>
            </w:r>
          </w:p>
          <w:p>
            <w:pPr>
              <w:bidi w:val="0"/>
              <w:rPr>
                <w:b/>
                <w:szCs w:val="18"/>
              </w:rPr>
            </w:pPr>
            <w:r>
              <w:t>（</w:t>
            </w:r>
            <w:r>
              <w:rPr>
                <w:rFonts w:hint="eastAsia"/>
                <w:lang w:val="en-US" w:eastAsia="zh-CN"/>
              </w:rPr>
              <w:t>4</w:t>
            </w:r>
            <w:r>
              <w:t>）生态环境：</w:t>
            </w:r>
            <w:r>
              <w:rPr>
                <w:rFonts w:hint="eastAsia"/>
              </w:rPr>
              <w:t>项目位于海宁经济开发区尖山新区范围内，无产业园区外新增用地</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1" w:type="dxa"/>
            <w:vAlign w:val="center"/>
          </w:tcPr>
          <w:p>
            <w:pPr>
              <w:ind w:firstLine="0" w:firstLineChars="0"/>
              <w:jc w:val="center"/>
            </w:pPr>
            <w:r>
              <w:rPr>
                <w:rFonts w:hint="eastAsia"/>
              </w:rPr>
              <w:t>污染物排放控制标准</w:t>
            </w:r>
          </w:p>
        </w:tc>
        <w:tc>
          <w:tcPr>
            <w:tcW w:w="7999" w:type="dxa"/>
          </w:tcPr>
          <w:p>
            <w:pPr>
              <w:pStyle w:val="5"/>
              <w:spacing w:before="0"/>
              <w:rPr>
                <w:rFonts w:hint="default"/>
              </w:rPr>
            </w:pPr>
            <w:r>
              <w:t>3.</w:t>
            </w:r>
            <w:r>
              <w:rPr>
                <w:rFonts w:hint="eastAsia"/>
                <w:lang w:val="en-US" w:eastAsia="zh-CN"/>
              </w:rPr>
              <w:t>3</w:t>
            </w:r>
            <w:r>
              <w:t>污染物排放控制标准</w:t>
            </w:r>
          </w:p>
          <w:p>
            <w:pPr>
              <w:pStyle w:val="6"/>
              <w:rPr>
                <w:rStyle w:val="19"/>
              </w:rPr>
            </w:pPr>
            <w:r>
              <w:t>3.</w:t>
            </w:r>
            <w:r>
              <w:rPr>
                <w:rFonts w:hint="eastAsia"/>
                <w:lang w:val="en-US" w:eastAsia="zh-CN"/>
              </w:rPr>
              <w:t>3</w:t>
            </w:r>
            <w:r>
              <w:t>.1废水</w:t>
            </w:r>
          </w:p>
          <w:p>
            <w:pPr>
              <w:ind w:firstLine="420" w:firstLineChars="200"/>
            </w:pPr>
            <w:r>
              <w:rPr>
                <w:rFonts w:hint="eastAsia"/>
                <w:lang w:val="en-US" w:eastAsia="zh-CN"/>
              </w:rPr>
              <w:t>本项目</w:t>
            </w:r>
            <w:r>
              <w:rPr>
                <w:rFonts w:hint="eastAsia"/>
              </w:rPr>
              <w:t>废水依托现有的废水处理站进行处理，废水处理达到《电池工业污染物排放标准》(GB30484-2013)表2中间接排放标准后纳管排放。具体排放标准如下表</w:t>
            </w:r>
            <w:r>
              <w:t>。</w:t>
            </w:r>
          </w:p>
          <w:p>
            <w:pPr>
              <w:ind w:left="0" w:leftChars="0" w:firstLine="0" w:firstLineChars="0"/>
              <w:jc w:val="center"/>
              <w:rPr>
                <w:b/>
                <w:bCs/>
              </w:rPr>
            </w:pPr>
            <w:r>
              <w:rPr>
                <w:b/>
                <w:bCs/>
              </w:rPr>
              <w:t>表</w:t>
            </w:r>
            <w:r>
              <w:rPr>
                <w:rFonts w:hint="eastAsia"/>
                <w:b/>
                <w:bCs/>
              </w:rPr>
              <w:t>3.3</w:t>
            </w:r>
            <w:r>
              <w:rPr>
                <w:b/>
                <w:bCs/>
              </w:rPr>
              <w:t>-</w:t>
            </w:r>
            <w:r>
              <w:rPr>
                <w:rFonts w:hint="eastAsia"/>
                <w:b/>
                <w:bCs/>
              </w:rPr>
              <w:t>1  项目废水排放执行标准 单位：mg/L (pH 除外)</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382"/>
              <w:gridCol w:w="1080"/>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序号</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指标</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subscript"/>
                      <w:lang w:val="en-US" w:eastAsia="zh-CN"/>
                    </w:rPr>
                  </w:pPr>
                  <w:r>
                    <w:rPr>
                      <w:rFonts w:hint="eastAsia"/>
                      <w:sz w:val="18"/>
                      <w:szCs w:val="18"/>
                      <w:lang w:val="en-US" w:eastAsia="zh-CN"/>
                    </w:rPr>
                    <w:t>间接排放数值</w:t>
                  </w:r>
                </w:p>
              </w:tc>
              <w:tc>
                <w:tcPr>
                  <w:tcW w:w="312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1</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pH 值</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6~9</w:t>
                  </w:r>
                </w:p>
              </w:tc>
              <w:tc>
                <w:tcPr>
                  <w:tcW w:w="3122" w:type="pct"/>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《电池工业污染物排放标准》(GB30484-2013)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2</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悬浮物</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140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化学需氧量</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150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氨氮</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总磷</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氟化物(以F计)</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总氮</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40</w:t>
                  </w:r>
                </w:p>
              </w:tc>
              <w:tc>
                <w:tcPr>
                  <w:tcW w:w="3122"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单位产品基准排水量</w:t>
                  </w:r>
                </w:p>
              </w:tc>
              <w:tc>
                <w:tcPr>
                  <w:tcW w:w="686"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0.8m</w:t>
                  </w:r>
                  <w:r>
                    <w:rPr>
                      <w:rFonts w:hint="eastAsia"/>
                      <w:sz w:val="18"/>
                      <w:szCs w:val="18"/>
                      <w:vertAlign w:val="superscript"/>
                      <w:lang w:val="en-US" w:eastAsia="zh-CN"/>
                    </w:rPr>
                    <w:t>3</w:t>
                  </w:r>
                  <w:r>
                    <w:rPr>
                      <w:rFonts w:hint="eastAsia"/>
                      <w:sz w:val="18"/>
                      <w:szCs w:val="18"/>
                      <w:lang w:val="en-US" w:eastAsia="zh-CN"/>
                    </w:rPr>
                    <w:t>/万 Ah</w:t>
                  </w:r>
                </w:p>
              </w:tc>
              <w:tc>
                <w:tcPr>
                  <w:tcW w:w="312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《关于执行电池工业污染物排放标准有关问题的复函》（环函[2014]170号）（锂离子/锂电池新建企业）</w:t>
                  </w:r>
                </w:p>
              </w:tc>
            </w:tr>
          </w:tbl>
          <w:p>
            <w:pPr>
              <w:bidi w:val="0"/>
            </w:pPr>
            <w:r>
              <w:rPr>
                <w:rFonts w:hint="eastAsia"/>
              </w:rPr>
              <w:t>企业废水经市政污水管网排入尖山污水处理厂经处理达到达标后排放，尖山污水处理厂出水中的COD</w:t>
            </w:r>
            <w:r>
              <w:rPr>
                <w:rFonts w:hint="eastAsia"/>
                <w:vertAlign w:val="subscript"/>
              </w:rPr>
              <w:t>C</w:t>
            </w:r>
            <w:r>
              <w:rPr>
                <w:rFonts w:hint="eastAsia"/>
              </w:rPr>
              <w:t>r、氨氮、总磷、总氮污染物执行《城镇污水处理厂主要水污染物排放标准》（DB33/2169-2018）中表1现有城镇污水处理厂主要水污染物排放限值，其他污染物执行《城镇污水处理厂污染物排放标准》（GB18918-2002）中一级A标准限值。</w:t>
            </w:r>
          </w:p>
          <w:p>
            <w:pPr>
              <w:ind w:left="0" w:leftChars="0" w:firstLine="0" w:firstLineChars="0"/>
              <w:jc w:val="center"/>
              <w:rPr>
                <w:b/>
                <w:bCs/>
              </w:rPr>
            </w:pPr>
            <w:r>
              <w:rPr>
                <w:b/>
                <w:bCs/>
              </w:rPr>
              <w:t>表</w:t>
            </w:r>
            <w:r>
              <w:rPr>
                <w:rFonts w:hint="eastAsia"/>
                <w:b/>
                <w:bCs/>
              </w:rPr>
              <w:t>3.3</w:t>
            </w:r>
            <w:r>
              <w:rPr>
                <w:b/>
                <w:bCs/>
              </w:rPr>
              <w:t>-</w:t>
            </w:r>
            <w:r>
              <w:rPr>
                <w:rFonts w:hint="eastAsia"/>
                <w:b/>
                <w:bCs/>
                <w:lang w:val="en-US" w:eastAsia="zh-CN"/>
              </w:rPr>
              <w:t>2</w:t>
            </w:r>
            <w:r>
              <w:rPr>
                <w:rFonts w:hint="eastAsia"/>
                <w:b/>
                <w:bCs/>
              </w:rPr>
              <w:t xml:space="preserve">  污水处理厂排放标准</w:t>
            </w:r>
            <w:r>
              <w:rPr>
                <w:rFonts w:hint="eastAsia"/>
                <w:b/>
                <w:bCs/>
                <w:lang w:val="en-US" w:eastAsia="zh-CN"/>
              </w:rPr>
              <w:t xml:space="preserve">   </w:t>
            </w:r>
            <w:r>
              <w:rPr>
                <w:rFonts w:hint="eastAsia"/>
                <w:b/>
                <w:bCs/>
              </w:rPr>
              <w:t xml:space="preserve"> 单位：mg/L (pH 除外)</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1381"/>
              <w:gridCol w:w="1531"/>
              <w:gridCol w:w="4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序号</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污染物</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vertAlign w:val="subscript"/>
                      <w:lang w:val="en-US" w:eastAsia="zh-CN"/>
                    </w:rPr>
                  </w:pPr>
                  <w:r>
                    <w:rPr>
                      <w:rFonts w:hint="eastAsia"/>
                      <w:sz w:val="18"/>
                      <w:szCs w:val="18"/>
                      <w:lang w:val="en-US" w:eastAsia="zh-CN"/>
                    </w:rPr>
                    <w:t>标准值（日均值）</w:t>
                  </w:r>
                </w:p>
              </w:tc>
              <w:tc>
                <w:tcPr>
                  <w:tcW w:w="2761"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eastAsia="zh-CN"/>
                    </w:rPr>
                  </w:pPr>
                  <w:r>
                    <w:rPr>
                      <w:rFonts w:hint="eastAsia"/>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化学需氧量(COD)</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40</w:t>
                  </w:r>
                </w:p>
              </w:tc>
              <w:tc>
                <w:tcPr>
                  <w:tcW w:w="2761" w:type="pct"/>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《城镇污水处理厂主要水污染物排放标准》（DB33/2169-2018）中表1现有城镇污水处理厂主要水污染物排放限值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氨氮(以N计)</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2(4)</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总氮(以N计)</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12（15）</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总磷(以P计)</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0.3</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生化需氧量(BOD5)</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w:t>
                  </w:r>
                </w:p>
              </w:tc>
              <w:tc>
                <w:tcPr>
                  <w:tcW w:w="2761" w:type="pct"/>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《城镇污水处理厂污染物排放标准》(GB18918-2002)表1基本控制项目最高允许排放浓度(日均值)中一级A标准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6</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悬浮物(SS)</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10</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7</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动植物油</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1</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8</w:t>
                  </w:r>
                </w:p>
              </w:tc>
              <w:tc>
                <w:tcPr>
                  <w:tcW w:w="877"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pH</w:t>
                  </w:r>
                </w:p>
              </w:tc>
              <w:tc>
                <w:tcPr>
                  <w:tcW w:w="972"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6~9</w:t>
                  </w:r>
                </w:p>
              </w:tc>
              <w:tc>
                <w:tcPr>
                  <w:tcW w:w="2761" w:type="pct"/>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注：括号外数值为水温&gt;12℃时控制指标，括号内数值为水温&lt;12℃时控制指标。</w:t>
                  </w:r>
                </w:p>
              </w:tc>
            </w:tr>
          </w:tbl>
          <w:p>
            <w:pPr>
              <w:pStyle w:val="6"/>
            </w:pPr>
          </w:p>
          <w:p>
            <w:pPr>
              <w:pStyle w:val="6"/>
            </w:pPr>
            <w:r>
              <w:t>3.</w:t>
            </w:r>
            <w:r>
              <w:rPr>
                <w:rFonts w:hint="eastAsia"/>
                <w:lang w:val="en-US" w:eastAsia="zh-CN"/>
              </w:rPr>
              <w:t>3</w:t>
            </w:r>
            <w:r>
              <w:t>.2废气</w:t>
            </w:r>
          </w:p>
          <w:p>
            <w:pPr>
              <w:ind w:firstLine="420"/>
              <w:rPr>
                <w:rFonts w:hint="default"/>
                <w:b/>
                <w:bCs/>
                <w:lang w:val="en-US" w:eastAsia="zh-CN"/>
              </w:rPr>
            </w:pPr>
            <w:r>
              <w:rPr>
                <w:rFonts w:hint="eastAsia"/>
                <w:b/>
                <w:bCs/>
                <w:lang w:val="en-US" w:eastAsia="zh-CN"/>
              </w:rPr>
              <w:t>1、有组织排放废气</w:t>
            </w:r>
          </w:p>
          <w:p>
            <w:pPr>
              <w:ind w:firstLine="420"/>
              <w:rPr>
                <w:rFonts w:hint="eastAsia"/>
                <w:lang w:val="en-US" w:eastAsia="zh-CN"/>
              </w:rPr>
            </w:pPr>
            <w:r>
              <w:rPr>
                <w:rFonts w:hint="eastAsia"/>
                <w:lang w:val="en-US" w:eastAsia="zh-CN"/>
              </w:rPr>
              <w:t>污水处理站有组织排放的非甲烷总烃排放执行《电池工业污染物排放标准》(GB30484-2013)表5新建企业大气污染物排放限值要求。恶臭废气执行《恶臭污染物排放标准》（GB14554-93）。</w:t>
            </w:r>
          </w:p>
          <w:p>
            <w:pPr>
              <w:bidi w:val="0"/>
              <w:ind w:left="0" w:leftChars="0" w:firstLine="0" w:firstLineChars="0"/>
              <w:jc w:val="center"/>
              <w:rPr>
                <w:rFonts w:hint="default"/>
                <w:b/>
                <w:bCs/>
                <w:lang w:val="en-US" w:eastAsia="zh-CN"/>
              </w:rPr>
            </w:pPr>
            <w:r>
              <w:rPr>
                <w:rFonts w:hint="default"/>
                <w:b/>
                <w:bCs/>
                <w:lang w:val="en-US" w:eastAsia="zh-CN"/>
              </w:rPr>
              <w:t>表</w:t>
            </w:r>
            <w:r>
              <w:rPr>
                <w:rFonts w:hint="eastAsia"/>
                <w:b/>
                <w:bCs/>
                <w:lang w:val="en-US" w:eastAsia="zh-CN"/>
              </w:rPr>
              <w:t xml:space="preserve">3.3-3 </w:t>
            </w:r>
            <w:r>
              <w:rPr>
                <w:rFonts w:hint="default"/>
                <w:b/>
                <w:bCs/>
                <w:lang w:val="en-US" w:eastAsia="zh-CN"/>
              </w:rPr>
              <w:t xml:space="preserve"> 废气污染物排放标准一览表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850"/>
              <w:gridCol w:w="1460"/>
              <w:gridCol w:w="1490"/>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185" w:type="dxa"/>
                  <w:vAlign w:val="center"/>
                </w:tcPr>
                <w:p>
                  <w:pPr>
                    <w:pStyle w:val="20"/>
                    <w:rPr>
                      <w:rFonts w:hint="eastAsia" w:eastAsia="宋体"/>
                      <w:lang w:val="en-US" w:eastAsia="zh-CN"/>
                    </w:rPr>
                  </w:pPr>
                  <w:r>
                    <w:rPr>
                      <w:rFonts w:hint="eastAsia"/>
                      <w:lang w:val="en-US" w:eastAsia="zh-CN"/>
                    </w:rPr>
                    <w:t>污染源</w:t>
                  </w:r>
                </w:p>
              </w:tc>
              <w:tc>
                <w:tcPr>
                  <w:tcW w:w="850" w:type="dxa"/>
                  <w:vAlign w:val="center"/>
                </w:tcPr>
                <w:p>
                  <w:pPr>
                    <w:pStyle w:val="20"/>
                    <w:rPr>
                      <w:rFonts w:hint="eastAsia" w:eastAsia="宋体"/>
                      <w:lang w:val="en-US" w:eastAsia="zh-CN"/>
                    </w:rPr>
                  </w:pPr>
                  <w:r>
                    <w:rPr>
                      <w:rFonts w:hint="eastAsia"/>
                      <w:lang w:val="en-US" w:eastAsia="zh-CN"/>
                    </w:rPr>
                    <w:t>污染物</w:t>
                  </w:r>
                </w:p>
              </w:tc>
              <w:tc>
                <w:tcPr>
                  <w:tcW w:w="1460" w:type="dxa"/>
                  <w:vAlign w:val="center"/>
                </w:tcPr>
                <w:p>
                  <w:pPr>
                    <w:pStyle w:val="20"/>
                  </w:pPr>
                  <w:r>
                    <w:rPr>
                      <w:rFonts w:hint="eastAsia"/>
                    </w:rPr>
                    <w:t>最高允许排放浓度（mg/m</w:t>
                  </w:r>
                  <w:r>
                    <w:rPr>
                      <w:rFonts w:hint="eastAsia"/>
                      <w:vertAlign w:val="superscript"/>
                    </w:rPr>
                    <w:t>3</w:t>
                  </w:r>
                  <w:r>
                    <w:rPr>
                      <w:rFonts w:hint="eastAsia"/>
                    </w:rPr>
                    <w:t>）</w:t>
                  </w:r>
                </w:p>
              </w:tc>
              <w:tc>
                <w:tcPr>
                  <w:tcW w:w="1490" w:type="dxa"/>
                  <w:vAlign w:val="center"/>
                </w:tcPr>
                <w:p>
                  <w:pPr>
                    <w:pStyle w:val="20"/>
                  </w:pPr>
                  <w:r>
                    <w:rPr>
                      <w:rFonts w:hint="eastAsia"/>
                    </w:rPr>
                    <w:t>最高允许排放速率（kg/h）</w:t>
                  </w:r>
                </w:p>
              </w:tc>
              <w:tc>
                <w:tcPr>
                  <w:tcW w:w="2888" w:type="dxa"/>
                  <w:vAlign w:val="center"/>
                </w:tcPr>
                <w:p>
                  <w:pPr>
                    <w:pStyle w:val="20"/>
                  </w:pPr>
                  <w:r>
                    <w:rPr>
                      <w:rFonts w:hint="eastAsia"/>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vMerge w:val="restart"/>
                  <w:vAlign w:val="center"/>
                </w:tcPr>
                <w:p>
                  <w:pPr>
                    <w:pStyle w:val="20"/>
                    <w:rPr>
                      <w:rFonts w:hint="eastAsia"/>
                    </w:rPr>
                  </w:pPr>
                  <w:r>
                    <w:rPr>
                      <w:rFonts w:hint="eastAsia"/>
                    </w:rPr>
                    <w:t>污水处理站废气排放口DA007</w:t>
                  </w:r>
                </w:p>
              </w:tc>
              <w:tc>
                <w:tcPr>
                  <w:tcW w:w="850" w:type="dxa"/>
                  <w:vAlign w:val="center"/>
                </w:tcPr>
                <w:p>
                  <w:pPr>
                    <w:pStyle w:val="20"/>
                    <w:rPr>
                      <w:rFonts w:hint="eastAsia"/>
                    </w:rPr>
                  </w:pPr>
                  <w:r>
                    <w:rPr>
                      <w:rFonts w:hint="eastAsia"/>
                    </w:rPr>
                    <w:t>非甲烷总烃</w:t>
                  </w:r>
                </w:p>
              </w:tc>
              <w:tc>
                <w:tcPr>
                  <w:tcW w:w="1460"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50</w:t>
                  </w:r>
                </w:p>
              </w:tc>
              <w:tc>
                <w:tcPr>
                  <w:tcW w:w="1490"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w:t>
                  </w:r>
                </w:p>
              </w:tc>
              <w:tc>
                <w:tcPr>
                  <w:tcW w:w="2888" w:type="dxa"/>
                  <w:vAlign w:val="center"/>
                </w:tcPr>
                <w:p>
                  <w:pPr>
                    <w:pStyle w:val="20"/>
                    <w:rPr>
                      <w:rFonts w:hint="eastAsia"/>
                    </w:rPr>
                  </w:pPr>
                  <w:r>
                    <w:rPr>
                      <w:rFonts w:hint="eastAsia"/>
                    </w:rPr>
                    <w:t>《电池工业污染物排放标准》(GB30484-2013)表5，锂离子/锂电池行业要求；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vMerge w:val="continue"/>
                  <w:vAlign w:val="center"/>
                </w:tcPr>
                <w:p>
                  <w:pPr>
                    <w:pStyle w:val="20"/>
                    <w:rPr>
                      <w:rFonts w:hint="eastAsia"/>
                    </w:rPr>
                  </w:pPr>
                </w:p>
              </w:tc>
              <w:tc>
                <w:tcPr>
                  <w:tcW w:w="850" w:type="dxa"/>
                  <w:vAlign w:val="center"/>
                </w:tcPr>
                <w:p>
                  <w:pPr>
                    <w:pStyle w:val="20"/>
                    <w:rPr>
                      <w:rFonts w:hint="eastAsia"/>
                    </w:rPr>
                  </w:pPr>
                  <w:r>
                    <w:rPr>
                      <w:rFonts w:hint="eastAsia"/>
                    </w:rPr>
                    <w:t>氨</w:t>
                  </w:r>
                </w:p>
              </w:tc>
              <w:tc>
                <w:tcPr>
                  <w:tcW w:w="1460" w:type="dxa"/>
                  <w:vAlign w:val="center"/>
                </w:tcPr>
                <w:p>
                  <w:pPr>
                    <w:pStyle w:val="20"/>
                    <w:rPr>
                      <w:rFonts w:hint="default"/>
                      <w:lang w:val="en-US" w:eastAsia="zh-CN"/>
                    </w:rPr>
                  </w:pPr>
                  <w:r>
                    <w:rPr>
                      <w:rFonts w:hint="eastAsia"/>
                      <w:lang w:val="en-US" w:eastAsia="zh-CN"/>
                    </w:rPr>
                    <w:t>/</w:t>
                  </w:r>
                </w:p>
              </w:tc>
              <w:tc>
                <w:tcPr>
                  <w:tcW w:w="1490" w:type="dxa"/>
                  <w:vAlign w:val="center"/>
                </w:tcPr>
                <w:p>
                  <w:pPr>
                    <w:pStyle w:val="20"/>
                    <w:rPr>
                      <w:rFonts w:hint="eastAsia"/>
                      <w:lang w:val="en-US" w:eastAsia="zh-CN"/>
                    </w:rPr>
                  </w:pPr>
                  <w:r>
                    <w:rPr>
                      <w:rFonts w:hint="eastAsia"/>
                      <w:lang w:val="en-US" w:eastAsia="zh-CN"/>
                    </w:rPr>
                    <w:t>4.9</w:t>
                  </w:r>
                </w:p>
              </w:tc>
              <w:tc>
                <w:tcPr>
                  <w:tcW w:w="2888" w:type="dxa"/>
                  <w:vMerge w:val="restart"/>
                  <w:vAlign w:val="center"/>
                </w:tcPr>
                <w:p>
                  <w:pPr>
                    <w:pStyle w:val="20"/>
                    <w:rPr>
                      <w:rFonts w:hint="eastAsia"/>
                    </w:rPr>
                  </w:pPr>
                  <w:r>
                    <w:rPr>
                      <w:rFonts w:hint="eastAsia"/>
                    </w:rPr>
                    <w:t>《恶臭污染物排放标准》（GB14554-93），15m排气筒；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vMerge w:val="continue"/>
                  <w:vAlign w:val="center"/>
                </w:tcPr>
                <w:p>
                  <w:pPr>
                    <w:pStyle w:val="20"/>
                    <w:rPr>
                      <w:rFonts w:hint="eastAsia"/>
                    </w:rPr>
                  </w:pPr>
                </w:p>
              </w:tc>
              <w:tc>
                <w:tcPr>
                  <w:tcW w:w="850" w:type="dxa"/>
                  <w:vAlign w:val="center"/>
                </w:tcPr>
                <w:p>
                  <w:pPr>
                    <w:pStyle w:val="20"/>
                    <w:rPr>
                      <w:rFonts w:hint="eastAsia"/>
                    </w:rPr>
                  </w:pPr>
                  <w:r>
                    <w:rPr>
                      <w:rFonts w:hint="eastAsia"/>
                    </w:rPr>
                    <w:t>硫化氢</w:t>
                  </w:r>
                </w:p>
              </w:tc>
              <w:tc>
                <w:tcPr>
                  <w:tcW w:w="1460" w:type="dxa"/>
                  <w:vAlign w:val="center"/>
                </w:tcPr>
                <w:p>
                  <w:pPr>
                    <w:pStyle w:val="20"/>
                    <w:rPr>
                      <w:rFonts w:hint="default"/>
                      <w:lang w:val="en-US" w:eastAsia="zh-CN"/>
                    </w:rPr>
                  </w:pPr>
                  <w:r>
                    <w:rPr>
                      <w:rFonts w:hint="eastAsia"/>
                      <w:lang w:val="en-US" w:eastAsia="zh-CN"/>
                    </w:rPr>
                    <w:t>/</w:t>
                  </w:r>
                </w:p>
              </w:tc>
              <w:tc>
                <w:tcPr>
                  <w:tcW w:w="1490" w:type="dxa"/>
                  <w:vAlign w:val="center"/>
                </w:tcPr>
                <w:p>
                  <w:pPr>
                    <w:pStyle w:val="20"/>
                    <w:rPr>
                      <w:rFonts w:hint="eastAsia"/>
                      <w:lang w:val="en-US" w:eastAsia="zh-CN"/>
                    </w:rPr>
                  </w:pPr>
                  <w:r>
                    <w:rPr>
                      <w:rFonts w:hint="eastAsia"/>
                      <w:lang w:val="en-US" w:eastAsia="zh-CN"/>
                    </w:rPr>
                    <w:t>0.33</w:t>
                  </w:r>
                </w:p>
              </w:tc>
              <w:tc>
                <w:tcPr>
                  <w:tcW w:w="2888" w:type="dxa"/>
                  <w:vMerge w:val="continue"/>
                  <w:vAlign w:val="center"/>
                </w:tcPr>
                <w:p>
                  <w:pPr>
                    <w:pStyle w:val="2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vMerge w:val="continue"/>
                  <w:vAlign w:val="center"/>
                </w:tcPr>
                <w:p>
                  <w:pPr>
                    <w:pStyle w:val="20"/>
                    <w:rPr>
                      <w:rFonts w:hint="eastAsia"/>
                    </w:rPr>
                  </w:pPr>
                </w:p>
              </w:tc>
              <w:tc>
                <w:tcPr>
                  <w:tcW w:w="850" w:type="dxa"/>
                  <w:vAlign w:val="center"/>
                </w:tcPr>
                <w:p>
                  <w:pPr>
                    <w:pStyle w:val="20"/>
                    <w:rPr>
                      <w:rFonts w:hint="eastAsia"/>
                    </w:rPr>
                  </w:pPr>
                  <w:r>
                    <w:rPr>
                      <w:rFonts w:hint="eastAsia"/>
                    </w:rPr>
                    <w:t>臭气浓度</w:t>
                  </w:r>
                </w:p>
              </w:tc>
              <w:tc>
                <w:tcPr>
                  <w:tcW w:w="1460" w:type="dxa"/>
                  <w:vAlign w:val="center"/>
                </w:tcPr>
                <w:p>
                  <w:pPr>
                    <w:pStyle w:val="20"/>
                    <w:rPr>
                      <w:rFonts w:hint="eastAsia"/>
                      <w:lang w:val="en-US" w:eastAsia="zh-CN"/>
                    </w:rPr>
                  </w:pPr>
                  <w:r>
                    <w:rPr>
                      <w:rFonts w:hint="eastAsia"/>
                      <w:lang w:val="en-US" w:eastAsia="zh-CN"/>
                    </w:rPr>
                    <w:t>2000（无量</w:t>
                  </w:r>
                </w:p>
                <w:p>
                  <w:pPr>
                    <w:pStyle w:val="20"/>
                    <w:rPr>
                      <w:rFonts w:hint="eastAsia"/>
                      <w:lang w:val="en-US" w:eastAsia="zh-CN"/>
                    </w:rPr>
                  </w:pPr>
                  <w:r>
                    <w:rPr>
                      <w:rFonts w:hint="eastAsia"/>
                      <w:lang w:val="en-US" w:eastAsia="zh-CN"/>
                    </w:rPr>
                    <w:t>纲）</w:t>
                  </w:r>
                </w:p>
              </w:tc>
              <w:tc>
                <w:tcPr>
                  <w:tcW w:w="1490" w:type="dxa"/>
                  <w:vAlign w:val="center"/>
                </w:tcPr>
                <w:p>
                  <w:pPr>
                    <w:pStyle w:val="20"/>
                    <w:rPr>
                      <w:rFonts w:hint="default"/>
                      <w:lang w:val="en-US" w:eastAsia="zh-CN"/>
                    </w:rPr>
                  </w:pPr>
                  <w:r>
                    <w:rPr>
                      <w:rFonts w:hint="eastAsia"/>
                      <w:lang w:val="en-US" w:eastAsia="zh-CN"/>
                    </w:rPr>
                    <w:t>/</w:t>
                  </w:r>
                </w:p>
              </w:tc>
              <w:tc>
                <w:tcPr>
                  <w:tcW w:w="2888" w:type="dxa"/>
                  <w:vMerge w:val="continue"/>
                  <w:vAlign w:val="center"/>
                </w:tcPr>
                <w:p>
                  <w:pPr>
                    <w:pStyle w:val="20"/>
                    <w:rPr>
                      <w:rFonts w:hint="eastAsia"/>
                    </w:rPr>
                  </w:pPr>
                </w:p>
              </w:tc>
            </w:tr>
          </w:tbl>
          <w:p>
            <w:pPr>
              <w:ind w:firstLine="420"/>
              <w:rPr>
                <w:rFonts w:hint="eastAsia"/>
              </w:rPr>
            </w:pPr>
            <w:r>
              <w:rPr>
                <w:rFonts w:hint="eastAsia"/>
                <w:lang w:val="en-US" w:eastAsia="zh-CN"/>
              </w:rPr>
              <w:t>本</w:t>
            </w:r>
            <w:r>
              <w:rPr>
                <w:rFonts w:hint="eastAsia"/>
              </w:rPr>
              <w:t>项目</w:t>
            </w:r>
            <w:r>
              <w:rPr>
                <w:rFonts w:hint="eastAsia"/>
                <w:lang w:val="en-US" w:eastAsia="zh-CN"/>
              </w:rPr>
              <w:t>依托现有食堂</w:t>
            </w:r>
            <w:r>
              <w:rPr>
                <w:rFonts w:hint="eastAsia"/>
              </w:rPr>
              <w:t>，基准灶头数不低于6个，油烟废气执行《饮食业油烟排放标准（试行）》（GB18483-2001）中的大型规模排放限值，详见下表：</w:t>
            </w:r>
          </w:p>
          <w:p>
            <w:pPr>
              <w:ind w:firstLine="0" w:firstLineChars="0"/>
              <w:jc w:val="center"/>
              <w:rPr>
                <w:b/>
                <w:bCs/>
                <w:sz w:val="21"/>
                <w:szCs w:val="21"/>
              </w:rPr>
            </w:pPr>
            <w:r>
              <w:rPr>
                <w:b/>
                <w:bCs/>
                <w:sz w:val="21"/>
                <w:szCs w:val="21"/>
              </w:rPr>
              <w:t>表</w:t>
            </w:r>
            <w:r>
              <w:rPr>
                <w:rFonts w:hint="eastAsia"/>
                <w:b/>
                <w:bCs/>
                <w:sz w:val="21"/>
                <w:szCs w:val="21"/>
              </w:rPr>
              <w:t>3.</w:t>
            </w:r>
            <w:r>
              <w:rPr>
                <w:rFonts w:hint="eastAsia"/>
                <w:b/>
                <w:bCs/>
                <w:sz w:val="21"/>
                <w:szCs w:val="21"/>
                <w:lang w:val="en-US" w:eastAsia="zh-CN"/>
              </w:rPr>
              <w:t>3-4</w:t>
            </w:r>
            <w:r>
              <w:rPr>
                <w:rFonts w:hint="eastAsia"/>
                <w:b/>
                <w:bCs/>
                <w:sz w:val="21"/>
                <w:szCs w:val="21"/>
              </w:rPr>
              <w:t xml:space="preserve">  《饮食业油烟排放标准（试行）》（GB18483-2001）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8"/>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0" w:type="auto"/>
                  <w:vAlign w:val="center"/>
                </w:tcPr>
                <w:p>
                  <w:pPr>
                    <w:pStyle w:val="20"/>
                  </w:pPr>
                  <w:r>
                    <w:rPr>
                      <w:rFonts w:hint="eastAsia"/>
                    </w:rPr>
                    <w:t>规模</w:t>
                  </w:r>
                </w:p>
              </w:tc>
              <w:tc>
                <w:tcPr>
                  <w:tcW w:w="0" w:type="auto"/>
                  <w:vAlign w:val="center"/>
                </w:tcPr>
                <w:p>
                  <w:pPr>
                    <w:pStyle w:val="20"/>
                    <w:rPr>
                      <w:rFonts w:hint="eastAsia" w:eastAsia="宋体"/>
                      <w:lang w:eastAsia="zh-CN"/>
                    </w:rPr>
                  </w:pPr>
                  <w:r>
                    <w:rPr>
                      <w:rFonts w:hint="eastAsia"/>
                      <w:lang w:val="en-US" w:eastAsia="zh-CN"/>
                    </w:rPr>
                    <w:t>大型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pPr>
                  <w:r>
                    <w:rPr>
                      <w:rFonts w:hint="eastAsia"/>
                    </w:rPr>
                    <w:t>基准灶头数</w:t>
                  </w:r>
                </w:p>
              </w:tc>
              <w:tc>
                <w:tcPr>
                  <w:tcW w:w="0" w:type="auto"/>
                  <w:vAlign w:val="center"/>
                </w:tcPr>
                <w:p>
                  <w:pPr>
                    <w:pStyle w:val="20"/>
                  </w:pP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eastAsia"/>
                    </w:rPr>
                  </w:pPr>
                  <w:r>
                    <w:rPr>
                      <w:rFonts w:hint="eastAsia"/>
                    </w:rPr>
                    <w:t>对应灶头总功率(10</w:t>
                  </w:r>
                  <w:r>
                    <w:rPr>
                      <w:rFonts w:hint="eastAsia"/>
                      <w:vertAlign w:val="superscript"/>
                    </w:rPr>
                    <w:t>8</w:t>
                  </w:r>
                  <w:r>
                    <w:rPr>
                      <w:rFonts w:hint="eastAsia"/>
                    </w:rPr>
                    <w:t>J/h)</w:t>
                  </w:r>
                </w:p>
              </w:tc>
              <w:tc>
                <w:tcPr>
                  <w:tcW w:w="0" w:type="auto"/>
                  <w:vAlign w:val="center"/>
                </w:tcPr>
                <w:p>
                  <w:pPr>
                    <w:pStyle w:val="20"/>
                    <w:rPr>
                      <w:rFonts w:hint="eastAsia"/>
                    </w:rP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eastAsia"/>
                    </w:rPr>
                  </w:pPr>
                  <w:r>
                    <w:rPr>
                      <w:rFonts w:hint="eastAsia"/>
                    </w:rPr>
                    <w:t>对应排气罩灶面总投影面积(m</w:t>
                  </w:r>
                  <w:r>
                    <w:rPr>
                      <w:rFonts w:hint="eastAsia"/>
                      <w:vertAlign w:val="superscript"/>
                    </w:rPr>
                    <w:t>2</w:t>
                  </w:r>
                  <w:r>
                    <w:rPr>
                      <w:rFonts w:hint="eastAsia"/>
                    </w:rPr>
                    <w:t>)</w:t>
                  </w:r>
                </w:p>
              </w:tc>
              <w:tc>
                <w:tcPr>
                  <w:tcW w:w="0" w:type="auto"/>
                  <w:vAlign w:val="center"/>
                </w:tcPr>
                <w:p>
                  <w:pPr>
                    <w:pStyle w:val="20"/>
                    <w:rPr>
                      <w:rFonts w:hint="eastAsia"/>
                    </w:rPr>
                  </w:pPr>
                  <w:r>
                    <w:rPr>
                      <w:rFonts w:hint="eastAsia"/>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eastAsia"/>
                    </w:rPr>
                  </w:pPr>
                  <w:r>
                    <w:rPr>
                      <w:rFonts w:hint="eastAsia"/>
                    </w:rPr>
                    <w:t>最高允许排放浓度(mg/m</w:t>
                  </w:r>
                  <w:r>
                    <w:rPr>
                      <w:rFonts w:hint="eastAsia"/>
                      <w:vertAlign w:val="superscript"/>
                    </w:rPr>
                    <w:t>3</w:t>
                  </w:r>
                  <w:r>
                    <w:rPr>
                      <w:rFonts w:hint="eastAsia"/>
                    </w:rPr>
                    <w:t>)</w:t>
                  </w:r>
                </w:p>
              </w:tc>
              <w:tc>
                <w:tcPr>
                  <w:tcW w:w="0" w:type="auto"/>
                  <w:vAlign w:val="center"/>
                </w:tcPr>
                <w:p>
                  <w:pPr>
                    <w:pStyle w:val="20"/>
                    <w:rPr>
                      <w:rFonts w:hint="eastAsia"/>
                    </w:rPr>
                  </w:pPr>
                  <w:r>
                    <w:rPr>
                      <w:rFonts w:hint="eastAsi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rPr>
                      <w:rFonts w:hint="eastAsia"/>
                    </w:rPr>
                  </w:pPr>
                  <w:r>
                    <w:rPr>
                      <w:rFonts w:hint="eastAsia"/>
                    </w:rPr>
                    <w:t>净化设施最低去除效率(%)</w:t>
                  </w:r>
                </w:p>
              </w:tc>
              <w:tc>
                <w:tcPr>
                  <w:tcW w:w="0" w:type="auto"/>
                  <w:vAlign w:val="center"/>
                </w:tcPr>
                <w:p>
                  <w:pPr>
                    <w:pStyle w:val="20"/>
                    <w:rPr>
                      <w:rFonts w:hint="eastAsia"/>
                    </w:rPr>
                  </w:pPr>
                  <w:r>
                    <w:rPr>
                      <w:rFonts w:hint="eastAsia"/>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vAlign w:val="center"/>
                </w:tcPr>
                <w:p>
                  <w:pPr>
                    <w:pStyle w:val="20"/>
                    <w:rPr>
                      <w:rFonts w:hint="eastAsia"/>
                    </w:rPr>
                  </w:pPr>
                  <w:r>
                    <w:rPr>
                      <w:rFonts w:hint="eastAsia"/>
                    </w:rPr>
                    <w:t>注：单个灶头基准排风量：大、中、小型均为 2000Nm</w:t>
                  </w:r>
                  <w:r>
                    <w:rPr>
                      <w:rFonts w:hint="eastAsia"/>
                      <w:vertAlign w:val="superscript"/>
                    </w:rPr>
                    <w:t>3</w:t>
                  </w:r>
                  <w:r>
                    <w:rPr>
                      <w:rFonts w:hint="eastAsia"/>
                    </w:rPr>
                    <w:t>/h。</w:t>
                  </w:r>
                </w:p>
              </w:tc>
            </w:tr>
          </w:tbl>
          <w:p>
            <w:pPr>
              <w:ind w:firstLine="420"/>
              <w:rPr>
                <w:b/>
                <w:bCs/>
              </w:rPr>
            </w:pPr>
            <w:r>
              <w:rPr>
                <w:rFonts w:hint="eastAsia"/>
                <w:b/>
                <w:bCs/>
              </w:rPr>
              <w:t>2、无组织排放标准</w:t>
            </w:r>
          </w:p>
          <w:p>
            <w:pPr>
              <w:ind w:firstLine="420"/>
            </w:pPr>
            <w:r>
              <w:rPr>
                <w:rFonts w:hint="eastAsia"/>
                <w:lang w:val="en-US" w:eastAsia="zh-CN"/>
              </w:rPr>
              <w:t>本项目</w:t>
            </w:r>
            <w:r>
              <w:rPr>
                <w:rFonts w:hint="eastAsia"/>
              </w:rPr>
              <w:t>颗粒物、非甲烷总烃等厂界无组织排放浓度执行《电池工业污染物排放标准》(GB30484-2013)企业边界大气污染物浓度限值，厂区内VOCs无组织排放监控点浓度应符合《挥发性有机物无组织排放控制标准》（GB 37822—2019）附录A.1要求；臭气浓度、氨、硫化氢厂界无组织排放浓度限值执行《恶臭污染物排放标准》（GB14554-93）表1中 的二级新改扩建标准。无组织排放要求详见下表：</w:t>
            </w:r>
          </w:p>
          <w:p>
            <w:pPr>
              <w:ind w:firstLine="0" w:firstLineChars="0"/>
              <w:jc w:val="center"/>
              <w:rPr>
                <w:rStyle w:val="22"/>
                <w:b/>
                <w:bCs/>
                <w:sz w:val="21"/>
                <w:szCs w:val="21"/>
              </w:rPr>
            </w:pPr>
            <w:r>
              <w:rPr>
                <w:b/>
                <w:sz w:val="21"/>
                <w:szCs w:val="21"/>
              </w:rPr>
              <w:t>表</w:t>
            </w:r>
            <w:r>
              <w:rPr>
                <w:rFonts w:hint="eastAsia"/>
                <w:b/>
                <w:sz w:val="21"/>
                <w:szCs w:val="21"/>
              </w:rPr>
              <w:t>3.</w:t>
            </w:r>
            <w:r>
              <w:rPr>
                <w:rFonts w:hint="eastAsia"/>
                <w:b/>
                <w:sz w:val="21"/>
                <w:szCs w:val="21"/>
                <w:lang w:val="en-US" w:eastAsia="zh-CN"/>
              </w:rPr>
              <w:t>3</w:t>
            </w:r>
            <w:r>
              <w:rPr>
                <w:rFonts w:hint="eastAsia"/>
                <w:b/>
                <w:sz w:val="21"/>
                <w:szCs w:val="21"/>
              </w:rPr>
              <w:t>-</w:t>
            </w:r>
            <w:r>
              <w:rPr>
                <w:rFonts w:hint="eastAsia"/>
                <w:b/>
                <w:sz w:val="21"/>
                <w:szCs w:val="21"/>
                <w:lang w:val="en-US" w:eastAsia="zh-CN"/>
              </w:rPr>
              <w:t>5</w:t>
            </w:r>
            <w:r>
              <w:rPr>
                <w:b/>
                <w:sz w:val="21"/>
                <w:szCs w:val="21"/>
              </w:rPr>
              <w:t xml:space="preserve">  </w:t>
            </w:r>
            <w:r>
              <w:rPr>
                <w:rStyle w:val="22"/>
                <w:rFonts w:hint="eastAsia"/>
                <w:b/>
                <w:bCs/>
                <w:sz w:val="21"/>
                <w:szCs w:val="21"/>
              </w:rPr>
              <w:t>无组织废气污染物排放标准    单位：</w:t>
            </w:r>
            <w:r>
              <w:rPr>
                <w:b/>
                <w:bCs/>
                <w:sz w:val="21"/>
                <w:szCs w:val="21"/>
              </w:rPr>
              <w:t>mg/m</w:t>
            </w:r>
            <w:r>
              <w:rPr>
                <w:b/>
                <w:bCs/>
                <w:sz w:val="21"/>
                <w:szCs w:val="21"/>
                <w:vertAlign w:val="superscript"/>
              </w:rPr>
              <w:t>3</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1512"/>
              <w:gridCol w:w="1143"/>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vAlign w:val="center"/>
                </w:tcPr>
                <w:p>
                  <w:pPr>
                    <w:pStyle w:val="20"/>
                  </w:pPr>
                  <w:r>
                    <w:rPr>
                      <w:rFonts w:hint="eastAsia"/>
                    </w:rPr>
                    <w:t>标准名称</w:t>
                  </w:r>
                </w:p>
              </w:tc>
              <w:tc>
                <w:tcPr>
                  <w:tcW w:w="0" w:type="auto"/>
                  <w:vAlign w:val="center"/>
                </w:tcPr>
                <w:p>
                  <w:pPr>
                    <w:pStyle w:val="20"/>
                  </w:pPr>
                  <w:r>
                    <w:rPr>
                      <w:rFonts w:hint="eastAsia"/>
                    </w:rPr>
                    <w:t>污染因子</w:t>
                  </w:r>
                </w:p>
              </w:tc>
              <w:tc>
                <w:tcPr>
                  <w:tcW w:w="0" w:type="auto"/>
                  <w:vAlign w:val="center"/>
                </w:tcPr>
                <w:p>
                  <w:pPr>
                    <w:pStyle w:val="20"/>
                  </w:pPr>
                  <w:r>
                    <w:rPr>
                      <w:rFonts w:hint="eastAsia"/>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pStyle w:val="20"/>
                  </w:pPr>
                  <w:r>
                    <w:rPr>
                      <w:rFonts w:hint="eastAsia"/>
                    </w:rPr>
                    <w:t>《电池工业污染物排放标准》(GB30484-2013)</w:t>
                  </w:r>
                </w:p>
              </w:tc>
              <w:tc>
                <w:tcPr>
                  <w:tcW w:w="0" w:type="auto"/>
                  <w:vMerge w:val="restart"/>
                  <w:vAlign w:val="center"/>
                </w:tcPr>
                <w:p>
                  <w:pPr>
                    <w:pStyle w:val="20"/>
                  </w:pPr>
                  <w:r>
                    <w:rPr>
                      <w:rFonts w:hint="eastAsia"/>
                    </w:rPr>
                    <w:t>最高浓度限值</w:t>
                  </w:r>
                </w:p>
              </w:tc>
              <w:tc>
                <w:tcPr>
                  <w:tcW w:w="0" w:type="auto"/>
                  <w:vAlign w:val="center"/>
                </w:tcPr>
                <w:p>
                  <w:pPr>
                    <w:pStyle w:val="20"/>
                  </w:pPr>
                  <w:r>
                    <w:rPr>
                      <w:rFonts w:hint="eastAsia"/>
                    </w:rPr>
                    <w:t>颗粒物</w:t>
                  </w:r>
                </w:p>
              </w:tc>
              <w:tc>
                <w:tcPr>
                  <w:tcW w:w="0" w:type="auto"/>
                  <w:vAlign w:val="center"/>
                </w:tcPr>
                <w:p>
                  <w:pPr>
                    <w:pStyle w:val="20"/>
                    <w:rPr>
                      <w:rFonts w:hint="default" w:eastAsia="宋体"/>
                      <w:lang w:val="en-US" w:eastAsia="zh-CN"/>
                    </w:rPr>
                  </w:pPr>
                  <w:r>
                    <w:rPr>
                      <w:rFonts w:hint="eastAsia"/>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pStyle w:val="20"/>
                    <w:rPr>
                      <w:rFonts w:hint="eastAsia"/>
                    </w:rPr>
                  </w:pPr>
                </w:p>
              </w:tc>
              <w:tc>
                <w:tcPr>
                  <w:tcW w:w="0" w:type="auto"/>
                  <w:vMerge w:val="continue"/>
                  <w:vAlign w:val="center"/>
                </w:tcPr>
                <w:p>
                  <w:pPr>
                    <w:pStyle w:val="20"/>
                    <w:rPr>
                      <w:rFonts w:hint="eastAsia"/>
                    </w:rPr>
                  </w:pPr>
                </w:p>
              </w:tc>
              <w:tc>
                <w:tcPr>
                  <w:tcW w:w="0" w:type="auto"/>
                  <w:vAlign w:val="center"/>
                </w:tcPr>
                <w:p>
                  <w:pPr>
                    <w:pStyle w:val="20"/>
                  </w:pPr>
                  <w:r>
                    <w:rPr>
                      <w:rFonts w:hint="eastAsia"/>
                    </w:rPr>
                    <w:t>非甲烷总烃</w:t>
                  </w:r>
                </w:p>
              </w:tc>
              <w:tc>
                <w:tcPr>
                  <w:tcW w:w="0" w:type="auto"/>
                  <w:vAlign w:val="center"/>
                </w:tcPr>
                <w:p>
                  <w:pPr>
                    <w:pStyle w:val="20"/>
                    <w:rPr>
                      <w:rFonts w:hint="eastAsia" w:eastAsia="宋体"/>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pStyle w:val="20"/>
                    <w:rPr>
                      <w:rFonts w:hint="eastAsia" w:ascii="Times New Roman" w:hAnsi="Times New Roman" w:eastAsia="宋体" w:cs="Times New Roman"/>
                      <w:color w:val="000000"/>
                      <w:kern w:val="2"/>
                      <w:sz w:val="18"/>
                      <w:szCs w:val="24"/>
                      <w:lang w:val="en-US" w:eastAsia="zh-CN" w:bidi="ar-SA"/>
                    </w:rPr>
                  </w:pPr>
                  <w:r>
                    <w:rPr>
                      <w:rFonts w:hint="eastAsia"/>
                    </w:rPr>
                    <w:t>《恶臭污染物排放标准》（GB14554-93）</w:t>
                  </w:r>
                </w:p>
              </w:tc>
              <w:tc>
                <w:tcPr>
                  <w:tcW w:w="0" w:type="auto"/>
                  <w:vMerge w:val="restart"/>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厂界浓度最大值</w:t>
                  </w:r>
                </w:p>
              </w:tc>
              <w:tc>
                <w:tcPr>
                  <w:tcW w:w="0" w:type="auto"/>
                  <w:vAlign w:val="center"/>
                </w:tcPr>
                <w:p>
                  <w:pPr>
                    <w:pStyle w:val="20"/>
                  </w:pPr>
                  <w:r>
                    <w:rPr>
                      <w:rFonts w:hint="eastAsia"/>
                    </w:rPr>
                    <w:t>氨</w:t>
                  </w:r>
                </w:p>
              </w:tc>
              <w:tc>
                <w:tcPr>
                  <w:tcW w:w="0" w:type="auto"/>
                  <w:vAlign w:val="center"/>
                </w:tcPr>
                <w:p>
                  <w:pPr>
                    <w:pStyle w:val="20"/>
                    <w:rPr>
                      <w:rFonts w:hint="default" w:eastAsia="宋体"/>
                      <w:lang w:val="en-US" w:eastAsia="zh-CN"/>
                    </w:rPr>
                  </w:pPr>
                  <w:r>
                    <w:rPr>
                      <w:rFonts w:hint="eastAsia"/>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pStyle w:val="20"/>
                    <w:rPr>
                      <w:rFonts w:hint="eastAsia"/>
                    </w:rPr>
                  </w:pPr>
                </w:p>
              </w:tc>
              <w:tc>
                <w:tcPr>
                  <w:tcW w:w="0" w:type="auto"/>
                  <w:vMerge w:val="continue"/>
                  <w:vAlign w:val="center"/>
                </w:tcPr>
                <w:p>
                  <w:pPr>
                    <w:pStyle w:val="20"/>
                    <w:rPr>
                      <w:rFonts w:hint="eastAsia"/>
                    </w:rPr>
                  </w:pPr>
                </w:p>
              </w:tc>
              <w:tc>
                <w:tcPr>
                  <w:tcW w:w="0" w:type="auto"/>
                  <w:vAlign w:val="center"/>
                </w:tcPr>
                <w:p>
                  <w:pPr>
                    <w:pStyle w:val="20"/>
                  </w:pPr>
                  <w:r>
                    <w:rPr>
                      <w:rFonts w:hint="eastAsia"/>
                    </w:rPr>
                    <w:t>硫化氢</w:t>
                  </w:r>
                </w:p>
              </w:tc>
              <w:tc>
                <w:tcPr>
                  <w:tcW w:w="0" w:type="auto"/>
                  <w:vAlign w:val="center"/>
                </w:tcPr>
                <w:p>
                  <w:pPr>
                    <w:pStyle w:val="20"/>
                    <w:rPr>
                      <w:rFonts w:hint="default" w:eastAsia="宋体"/>
                      <w:lang w:val="en-US" w:eastAsia="zh-CN"/>
                    </w:rPr>
                  </w:pPr>
                  <w:r>
                    <w:rPr>
                      <w:rFonts w:hint="eastAsia"/>
                      <w:lang w:val="en-US" w:eastAsia="zh-CN"/>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pStyle w:val="20"/>
                    <w:rPr>
                      <w:rFonts w:hint="eastAsia"/>
                    </w:rPr>
                  </w:pPr>
                </w:p>
              </w:tc>
              <w:tc>
                <w:tcPr>
                  <w:tcW w:w="0" w:type="auto"/>
                  <w:vMerge w:val="continue"/>
                  <w:vAlign w:val="center"/>
                </w:tcPr>
                <w:p>
                  <w:pPr>
                    <w:pStyle w:val="20"/>
                    <w:rPr>
                      <w:rFonts w:hint="eastAsia"/>
                    </w:rPr>
                  </w:pPr>
                </w:p>
              </w:tc>
              <w:tc>
                <w:tcPr>
                  <w:tcW w:w="0" w:type="auto"/>
                  <w:vAlign w:val="center"/>
                </w:tcPr>
                <w:p>
                  <w:pPr>
                    <w:pStyle w:val="20"/>
                  </w:pPr>
                  <w:r>
                    <w:rPr>
                      <w:rFonts w:hint="eastAsia"/>
                    </w:rPr>
                    <w:t>臭气浓度</w:t>
                  </w:r>
                </w:p>
              </w:tc>
              <w:tc>
                <w:tcPr>
                  <w:tcW w:w="0" w:type="auto"/>
                  <w:vAlign w:val="center"/>
                </w:tcPr>
                <w:p>
                  <w:pPr>
                    <w:pStyle w:val="20"/>
                  </w:pPr>
                  <w:r>
                    <w:rPr>
                      <w:rFonts w:hint="eastAsia"/>
                    </w:rPr>
                    <w:t>20（无量纲）</w:t>
                  </w:r>
                </w:p>
              </w:tc>
            </w:tr>
          </w:tbl>
          <w:p>
            <w:pPr>
              <w:tabs>
                <w:tab w:val="left" w:pos="7380"/>
              </w:tabs>
              <w:adjustRightInd w:val="0"/>
              <w:ind w:firstLine="361"/>
              <w:jc w:val="center"/>
              <w:rPr>
                <w:b/>
                <w:sz w:val="21"/>
                <w:szCs w:val="21"/>
              </w:rPr>
            </w:pPr>
            <w:r>
              <w:rPr>
                <w:b/>
                <w:sz w:val="21"/>
                <w:szCs w:val="21"/>
              </w:rPr>
              <w:t>表</w:t>
            </w:r>
            <w:r>
              <w:rPr>
                <w:rFonts w:hint="eastAsia"/>
                <w:b/>
                <w:sz w:val="21"/>
                <w:szCs w:val="21"/>
              </w:rPr>
              <w:t>3.</w:t>
            </w:r>
            <w:r>
              <w:rPr>
                <w:rFonts w:hint="eastAsia"/>
                <w:b/>
                <w:sz w:val="21"/>
                <w:szCs w:val="21"/>
                <w:lang w:val="en-US" w:eastAsia="zh-CN"/>
              </w:rPr>
              <w:t>3</w:t>
            </w:r>
            <w:r>
              <w:rPr>
                <w:rFonts w:hint="eastAsia"/>
                <w:b/>
                <w:sz w:val="21"/>
                <w:szCs w:val="21"/>
              </w:rPr>
              <w:t>-</w:t>
            </w:r>
            <w:r>
              <w:rPr>
                <w:rFonts w:hint="eastAsia"/>
                <w:b/>
                <w:sz w:val="21"/>
                <w:szCs w:val="21"/>
                <w:lang w:val="en-US" w:eastAsia="zh-CN"/>
              </w:rPr>
              <w:t>6</w:t>
            </w:r>
            <w:r>
              <w:rPr>
                <w:b/>
                <w:sz w:val="21"/>
                <w:szCs w:val="21"/>
              </w:rPr>
              <w:t xml:space="preserve">  </w:t>
            </w:r>
            <w:r>
              <w:rPr>
                <w:b/>
                <w:bCs/>
                <w:sz w:val="21"/>
                <w:szCs w:val="21"/>
              </w:rPr>
              <w:t>挥发性有机物无组织排放控制标准</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1555"/>
              <w:gridCol w:w="2562"/>
              <w:gridCol w:w="2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Align w:val="center"/>
                </w:tcPr>
                <w:p>
                  <w:pPr>
                    <w:adjustRightInd w:val="0"/>
                    <w:spacing w:line="300" w:lineRule="exact"/>
                    <w:ind w:firstLine="0" w:firstLineChars="0"/>
                    <w:jc w:val="center"/>
                    <w:rPr>
                      <w:sz w:val="18"/>
                      <w:szCs w:val="18"/>
                    </w:rPr>
                  </w:pPr>
                  <w:r>
                    <w:rPr>
                      <w:sz w:val="18"/>
                      <w:szCs w:val="18"/>
                    </w:rPr>
                    <w:t>污染物项目</w:t>
                  </w:r>
                </w:p>
              </w:tc>
              <w:tc>
                <w:tcPr>
                  <w:tcW w:w="1455" w:type="dxa"/>
                  <w:vAlign w:val="center"/>
                </w:tcPr>
                <w:p>
                  <w:pPr>
                    <w:adjustRightInd w:val="0"/>
                    <w:spacing w:line="300" w:lineRule="exact"/>
                    <w:ind w:firstLine="0" w:firstLineChars="0"/>
                    <w:jc w:val="center"/>
                    <w:rPr>
                      <w:sz w:val="18"/>
                      <w:szCs w:val="18"/>
                    </w:rPr>
                  </w:pPr>
                  <w:r>
                    <w:rPr>
                      <w:sz w:val="18"/>
                      <w:szCs w:val="18"/>
                    </w:rPr>
                    <w:t>排放限值（mg/m</w:t>
                  </w:r>
                  <w:r>
                    <w:rPr>
                      <w:sz w:val="18"/>
                      <w:szCs w:val="18"/>
                      <w:vertAlign w:val="superscript"/>
                    </w:rPr>
                    <w:t>3</w:t>
                  </w:r>
                  <w:r>
                    <w:rPr>
                      <w:sz w:val="18"/>
                      <w:szCs w:val="18"/>
                    </w:rPr>
                    <w:t>）</w:t>
                  </w:r>
                </w:p>
              </w:tc>
              <w:tc>
                <w:tcPr>
                  <w:tcW w:w="2397" w:type="dxa"/>
                  <w:vAlign w:val="center"/>
                </w:tcPr>
                <w:p>
                  <w:pPr>
                    <w:adjustRightInd w:val="0"/>
                    <w:spacing w:line="300" w:lineRule="exact"/>
                    <w:ind w:firstLine="0" w:firstLineChars="0"/>
                    <w:jc w:val="center"/>
                    <w:rPr>
                      <w:sz w:val="18"/>
                      <w:szCs w:val="18"/>
                    </w:rPr>
                  </w:pPr>
                  <w:r>
                    <w:rPr>
                      <w:sz w:val="18"/>
                      <w:szCs w:val="18"/>
                    </w:rPr>
                    <w:t>限值含义</w:t>
                  </w:r>
                </w:p>
              </w:tc>
              <w:tc>
                <w:tcPr>
                  <w:tcW w:w="2127" w:type="dxa"/>
                  <w:vAlign w:val="center"/>
                </w:tcPr>
                <w:p>
                  <w:pPr>
                    <w:adjustRightInd w:val="0"/>
                    <w:spacing w:line="300" w:lineRule="exact"/>
                    <w:ind w:firstLine="0" w:firstLineChars="0"/>
                    <w:jc w:val="center"/>
                    <w:rPr>
                      <w:sz w:val="18"/>
                      <w:szCs w:val="18"/>
                    </w:rPr>
                  </w:pPr>
                  <w:r>
                    <w:rPr>
                      <w:sz w:val="18"/>
                      <w:szCs w:val="18"/>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vAlign w:val="center"/>
                </w:tcPr>
                <w:p>
                  <w:pPr>
                    <w:adjustRightInd w:val="0"/>
                    <w:spacing w:line="300" w:lineRule="exact"/>
                    <w:ind w:firstLine="0" w:firstLineChars="0"/>
                    <w:jc w:val="center"/>
                    <w:rPr>
                      <w:sz w:val="18"/>
                      <w:szCs w:val="18"/>
                    </w:rPr>
                  </w:pPr>
                  <w:r>
                    <w:rPr>
                      <w:sz w:val="18"/>
                      <w:szCs w:val="18"/>
                    </w:rPr>
                    <w:t>非甲烷总烃</w:t>
                  </w:r>
                </w:p>
              </w:tc>
              <w:tc>
                <w:tcPr>
                  <w:tcW w:w="1455" w:type="dxa"/>
                  <w:vAlign w:val="center"/>
                </w:tcPr>
                <w:p>
                  <w:pPr>
                    <w:adjustRightInd w:val="0"/>
                    <w:spacing w:line="300" w:lineRule="exact"/>
                    <w:ind w:firstLine="0" w:firstLineChars="0"/>
                    <w:jc w:val="center"/>
                    <w:rPr>
                      <w:sz w:val="18"/>
                      <w:szCs w:val="18"/>
                    </w:rPr>
                  </w:pPr>
                  <w:r>
                    <w:rPr>
                      <w:sz w:val="18"/>
                      <w:szCs w:val="18"/>
                    </w:rPr>
                    <w:t>6</w:t>
                  </w:r>
                </w:p>
              </w:tc>
              <w:tc>
                <w:tcPr>
                  <w:tcW w:w="2397" w:type="dxa"/>
                  <w:vAlign w:val="center"/>
                </w:tcPr>
                <w:p>
                  <w:pPr>
                    <w:adjustRightInd w:val="0"/>
                    <w:spacing w:line="300" w:lineRule="exact"/>
                    <w:ind w:firstLine="0" w:firstLineChars="0"/>
                    <w:jc w:val="center"/>
                    <w:rPr>
                      <w:sz w:val="18"/>
                      <w:szCs w:val="18"/>
                    </w:rPr>
                  </w:pPr>
                  <w:r>
                    <w:rPr>
                      <w:sz w:val="18"/>
                      <w:szCs w:val="18"/>
                    </w:rPr>
                    <w:t>监控点处1h平均浓度值</w:t>
                  </w:r>
                </w:p>
              </w:tc>
              <w:tc>
                <w:tcPr>
                  <w:tcW w:w="2127" w:type="dxa"/>
                  <w:vMerge w:val="restart"/>
                  <w:vAlign w:val="center"/>
                </w:tcPr>
                <w:p>
                  <w:pPr>
                    <w:adjustRightInd w:val="0"/>
                    <w:spacing w:line="300" w:lineRule="exact"/>
                    <w:ind w:firstLine="0" w:firstLineChars="0"/>
                    <w:jc w:val="center"/>
                    <w:rPr>
                      <w:sz w:val="18"/>
                      <w:szCs w:val="18"/>
                    </w:rPr>
                  </w:pPr>
                  <w:r>
                    <w:rPr>
                      <w:sz w:val="18"/>
                      <w:szCs w:val="18"/>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pPr>
                    <w:adjustRightInd w:val="0"/>
                    <w:spacing w:line="300" w:lineRule="exact"/>
                    <w:ind w:firstLine="0" w:firstLineChars="0"/>
                    <w:jc w:val="center"/>
                    <w:rPr>
                      <w:sz w:val="18"/>
                      <w:szCs w:val="18"/>
                    </w:rPr>
                  </w:pPr>
                </w:p>
              </w:tc>
              <w:tc>
                <w:tcPr>
                  <w:tcW w:w="1455" w:type="dxa"/>
                  <w:vAlign w:val="center"/>
                </w:tcPr>
                <w:p>
                  <w:pPr>
                    <w:adjustRightInd w:val="0"/>
                    <w:spacing w:line="300" w:lineRule="exact"/>
                    <w:ind w:firstLine="0" w:firstLineChars="0"/>
                    <w:jc w:val="center"/>
                    <w:rPr>
                      <w:sz w:val="18"/>
                      <w:szCs w:val="18"/>
                    </w:rPr>
                  </w:pPr>
                  <w:r>
                    <w:rPr>
                      <w:sz w:val="18"/>
                      <w:szCs w:val="18"/>
                    </w:rPr>
                    <w:t>20</w:t>
                  </w:r>
                </w:p>
              </w:tc>
              <w:tc>
                <w:tcPr>
                  <w:tcW w:w="2397" w:type="dxa"/>
                  <w:vAlign w:val="center"/>
                </w:tcPr>
                <w:p>
                  <w:pPr>
                    <w:adjustRightInd w:val="0"/>
                    <w:spacing w:line="300" w:lineRule="exact"/>
                    <w:ind w:firstLine="0" w:firstLineChars="0"/>
                    <w:jc w:val="center"/>
                    <w:rPr>
                      <w:sz w:val="18"/>
                      <w:szCs w:val="18"/>
                    </w:rPr>
                  </w:pPr>
                  <w:r>
                    <w:rPr>
                      <w:sz w:val="18"/>
                      <w:szCs w:val="18"/>
                    </w:rPr>
                    <w:t>监控点处任意一次浓度值</w:t>
                  </w:r>
                </w:p>
              </w:tc>
              <w:tc>
                <w:tcPr>
                  <w:tcW w:w="2127" w:type="dxa"/>
                  <w:vMerge w:val="continue"/>
                  <w:vAlign w:val="center"/>
                </w:tcPr>
                <w:p>
                  <w:pPr>
                    <w:adjustRightInd w:val="0"/>
                    <w:spacing w:line="300" w:lineRule="exact"/>
                    <w:ind w:firstLine="0" w:firstLineChars="0"/>
                    <w:jc w:val="center"/>
                    <w:rPr>
                      <w:sz w:val="18"/>
                      <w:szCs w:val="18"/>
                    </w:rPr>
                  </w:pPr>
                </w:p>
              </w:tc>
            </w:tr>
          </w:tbl>
          <w:p>
            <w:pPr>
              <w:pStyle w:val="6"/>
            </w:pPr>
            <w:r>
              <w:t>3.</w:t>
            </w:r>
            <w:r>
              <w:rPr>
                <w:rFonts w:hint="eastAsia"/>
                <w:lang w:val="en-US" w:eastAsia="zh-CN"/>
              </w:rPr>
              <w:t>3</w:t>
            </w:r>
            <w:r>
              <w:t>.3噪声</w:t>
            </w:r>
          </w:p>
          <w:p>
            <w:pPr>
              <w:ind w:firstLine="420"/>
            </w:pPr>
            <w:r>
              <w:rPr>
                <w:rFonts w:hint="eastAsia"/>
              </w:rPr>
              <w:t>本项目营运期东侧、南侧、北侧厂界噪声执行《工业企业厂界环境噪声排放标准》（GB12348-2008）3类标准，昼间65dB（A），夜间55dB（A）。西侧临G524，执行《工业企业厂界环境噪声排放标准》（GB12348-2008）4类标准，昼间70dB（A），夜间55dB（A）。</w:t>
            </w:r>
          </w:p>
          <w:p>
            <w:pPr>
              <w:pStyle w:val="6"/>
            </w:pPr>
            <w:r>
              <w:t>3.</w:t>
            </w:r>
            <w:r>
              <w:rPr>
                <w:rFonts w:hint="eastAsia"/>
                <w:lang w:val="en-US" w:eastAsia="zh-CN"/>
              </w:rPr>
              <w:t>3</w:t>
            </w:r>
            <w:r>
              <w:t>.4固体废物</w:t>
            </w:r>
          </w:p>
          <w:p>
            <w:pPr>
              <w:ind w:firstLine="420"/>
            </w:pPr>
            <w:r>
              <w:rPr>
                <w:rFonts w:hint="eastAsia"/>
              </w:rPr>
              <w:t>固体废弃物按照《中华人民共和国固体废物污染环境防治法》和《浙江省固体废物污染环境防治条例》中的有关规定执行。危险废物执行《危险废物贮存污染控制标准》（GB18597-2023，2023年7月</w:t>
            </w:r>
            <w:r>
              <w:rPr>
                <w:rFonts w:hint="eastAsia"/>
                <w:lang w:val="en-US" w:eastAsia="zh-CN"/>
              </w:rPr>
              <w:t>1</w:t>
            </w:r>
            <w:r>
              <w:rPr>
                <w:rFonts w:hint="eastAsia"/>
              </w:rPr>
              <w:t>日起实施）；一般工业固体废物执行《一般工业固体废物贮存和填埋污染控制标准》（GB18599-2020），其中采用库房、包装工具（罐、桶、包装袋等）贮存一般工业固体废物过程的污染控制，不适用《一般工业固体废物贮存和填埋污染控制标准》(GB 18599-2020)，其贮存过程应满足相应防渗漏、防雨淋、防扬尘等环境保护要求。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1" w:type="dxa"/>
            <w:vAlign w:val="center"/>
          </w:tcPr>
          <w:p>
            <w:pPr>
              <w:ind w:firstLine="0" w:firstLineChars="0"/>
              <w:jc w:val="center"/>
            </w:pPr>
            <w:r>
              <w:rPr>
                <w:rFonts w:hint="eastAsia"/>
              </w:rPr>
              <w:t>总量控制指标</w:t>
            </w:r>
          </w:p>
        </w:tc>
        <w:tc>
          <w:tcPr>
            <w:tcW w:w="7999" w:type="dxa"/>
          </w:tcPr>
          <w:p>
            <w:pPr>
              <w:pStyle w:val="5"/>
              <w:bidi w:val="0"/>
              <w:rPr>
                <w:rFonts w:hint="default"/>
              </w:rPr>
            </w:pPr>
            <w:r>
              <w:t>3.</w:t>
            </w:r>
            <w:r>
              <w:rPr>
                <w:rFonts w:hint="eastAsia"/>
                <w:lang w:val="en-US" w:eastAsia="zh-CN"/>
              </w:rPr>
              <w:t>4</w:t>
            </w:r>
            <w:r>
              <w:t>总量控制原则</w:t>
            </w:r>
          </w:p>
          <w:p>
            <w:pPr>
              <w:ind w:firstLine="420"/>
              <w:rPr>
                <w:rFonts w:hint="eastAsia"/>
              </w:rPr>
            </w:pPr>
            <w:r>
              <w:rPr>
                <w:rFonts w:hint="eastAsia"/>
              </w:rPr>
              <w:t>根据《嘉兴市生态环境局关于修订护航经济稳进提质助力企业纾困解难若干措施》（嘉环发〔2023〕7 号）文件规定：对上一年度环境空气质量年平均浓度达标、水环境质量达到要求的区域，挥发性有机物、化学需氧量和氨氮等三项污染物排放总量控制指标按所需替代总量指标的 1:1 进行削减替代。对于市级及以上重大项目，化学需氧量、氨氮、二氧化硫和氮氧化物排污权指标由市级储备库优先保障。海宁202</w:t>
            </w:r>
            <w:r>
              <w:rPr>
                <w:rFonts w:hint="eastAsia"/>
                <w:lang w:val="en-US" w:eastAsia="zh-CN"/>
              </w:rPr>
              <w:t>4</w:t>
            </w:r>
            <w:r>
              <w:rPr>
                <w:rFonts w:hint="eastAsia"/>
              </w:rPr>
              <w:t>年度为环境质量达标区，因此，海宁市化学需氧量、氨氮、NOx、VOCs按照1:1进行替代削减。项目建成后全厂主要污染物排放情况如下：</w:t>
            </w:r>
          </w:p>
          <w:p>
            <w:pPr>
              <w:bidi w:val="0"/>
              <w:ind w:left="0" w:leftChars="0" w:firstLine="0" w:firstLineChars="0"/>
              <w:jc w:val="center"/>
              <w:rPr>
                <w:rFonts w:hint="eastAsia"/>
                <w:b/>
                <w:bCs/>
                <w:lang w:val="en-US" w:eastAsia="zh-CN"/>
              </w:rPr>
            </w:pPr>
            <w:r>
              <w:rPr>
                <w:rFonts w:hint="eastAsia"/>
                <w:b/>
                <w:bCs/>
                <w:lang w:val="en-US" w:eastAsia="zh-CN"/>
              </w:rPr>
              <w:t>表3.4-1  项目建成后全厂主要污染物排放及平衡情况 单位：t/a</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855"/>
              <w:gridCol w:w="916"/>
              <w:gridCol w:w="955"/>
              <w:gridCol w:w="714"/>
              <w:gridCol w:w="695"/>
              <w:gridCol w:w="1034"/>
              <w:gridCol w:w="727"/>
              <w:gridCol w:w="540"/>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污染物名称</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排污权购买量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rPr>
                    <w:t>现有</w:t>
                  </w:r>
                  <w:r>
                    <w:rPr>
                      <w:rFonts w:hint="eastAsia"/>
                      <w:sz w:val="18"/>
                      <w:szCs w:val="18"/>
                      <w:lang w:val="en-US" w:eastAsia="zh-CN"/>
                    </w:rPr>
                    <w:t>核定量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现有达产排放量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“以新带老”削减量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本项目排放量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本项目实施后全厂排放量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eastAsia="zh-CN"/>
                    </w:rPr>
                  </w:pPr>
                  <w:r>
                    <w:rPr>
                      <w:rFonts w:hint="eastAsia"/>
                      <w:sz w:val="18"/>
                      <w:szCs w:val="18"/>
                      <w:lang w:val="en-US" w:eastAsia="zh-CN"/>
                    </w:rPr>
                    <w:t>增减量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削减替代比例</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区域总量削减量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eastAsia="zh-CN"/>
                    </w:rPr>
                  </w:pPr>
                  <w:r>
                    <w:rPr>
                      <w:rFonts w:hint="eastAsia"/>
                      <w:sz w:val="18"/>
                      <w:szCs w:val="18"/>
                    </w:rPr>
                    <w:t>VOC</w:t>
                  </w:r>
                  <w:r>
                    <w:rPr>
                      <w:rFonts w:hint="eastAsia"/>
                      <w:sz w:val="18"/>
                      <w:szCs w:val="18"/>
                      <w:lang w:val="en-US" w:eastAsia="zh-CN"/>
                    </w:rPr>
                    <w:t>s</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19.298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19.298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0.776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20.074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+0.776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颗粒物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0.373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0.373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0.373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废水量</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117935.1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117935.1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4161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122096.1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+4161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COD</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5.897①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bookmarkStart w:id="28" w:name="OLE_LINK1"/>
                  <w:r>
                    <w:rPr>
                      <w:rFonts w:hint="eastAsia"/>
                      <w:sz w:val="18"/>
                      <w:szCs w:val="18"/>
                      <w:lang w:val="en-US" w:eastAsia="zh-CN"/>
                    </w:rPr>
                    <w:t>4.717</w:t>
                  </w:r>
                  <w:bookmarkEnd w:id="28"/>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4.717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0.166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default"/>
                      <w:sz w:val="18"/>
                      <w:szCs w:val="18"/>
                      <w:lang w:val="en-US" w:eastAsia="zh-CN"/>
                    </w:rPr>
                    <w:t>4.883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+0.166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氨氮</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0.59①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0.236</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lang w:val="en-US" w:eastAsia="zh-CN"/>
                    </w:rPr>
                  </w:pPr>
                  <w:r>
                    <w:rPr>
                      <w:rFonts w:hint="eastAsia"/>
                      <w:sz w:val="18"/>
                      <w:szCs w:val="18"/>
                      <w:lang w:val="en-US" w:eastAsia="zh-CN"/>
                    </w:rPr>
                    <w:t>0.008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0.244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0.008</w:t>
                  </w:r>
                </w:p>
              </w:tc>
            </w:tr>
          </w:tbl>
          <w:p>
            <w:pPr>
              <w:bidi w:val="0"/>
              <w:rPr>
                <w:rFonts w:hint="default" w:eastAsia="宋体"/>
                <w:b/>
                <w:bCs/>
                <w:sz w:val="18"/>
                <w:szCs w:val="18"/>
                <w:lang w:val="en-US" w:eastAsia="zh-CN"/>
              </w:rPr>
            </w:pPr>
            <w:r>
              <w:rPr>
                <w:rFonts w:hint="eastAsia"/>
                <w:b/>
                <w:bCs/>
                <w:sz w:val="18"/>
                <w:szCs w:val="18"/>
                <w:lang w:val="en-US" w:eastAsia="zh-CN"/>
              </w:rPr>
              <w:t>注：现有项目环评编制于2023年11月，排污权购买量按照COD50mg/L、氨氮5mg/L核定购买。</w:t>
            </w:r>
          </w:p>
          <w:p>
            <w:pPr>
              <w:bidi w:val="0"/>
            </w:pPr>
            <w:r>
              <w:rPr>
                <w:rFonts w:hint="eastAsia"/>
              </w:rPr>
              <w:t>由工程分析可知，本项目实施后全厂总量控制建议值为废水量122093.1t/a，COD</w:t>
            </w:r>
            <w:r>
              <w:rPr>
                <w:rFonts w:hint="eastAsia"/>
                <w:vertAlign w:val="subscript"/>
              </w:rPr>
              <w:t>Cr</w:t>
            </w:r>
            <w:r>
              <w:rPr>
                <w:rFonts w:hint="eastAsia"/>
                <w:lang w:val="en-US" w:eastAsia="zh-CN"/>
              </w:rPr>
              <w:t>4.883</w:t>
            </w:r>
            <w:r>
              <w:rPr>
                <w:rFonts w:hint="eastAsia"/>
              </w:rPr>
              <w:t>t/a，氨氮</w:t>
            </w:r>
            <w:r>
              <w:rPr>
                <w:rFonts w:hint="eastAsia"/>
                <w:lang w:val="en-US" w:eastAsia="zh-CN"/>
              </w:rPr>
              <w:t>0.244</w:t>
            </w:r>
            <w:r>
              <w:rPr>
                <w:rFonts w:hint="eastAsia"/>
              </w:rPr>
              <w:t>t/a</w:t>
            </w:r>
            <w:r>
              <w:rPr>
                <w:rFonts w:hint="eastAsia"/>
                <w:lang w:eastAsia="zh-CN"/>
              </w:rPr>
              <w:t>，</w:t>
            </w:r>
            <w:r>
              <w:rPr>
                <w:rFonts w:hint="eastAsia"/>
                <w:lang w:val="en-US" w:eastAsia="zh-CN"/>
              </w:rPr>
              <w:t>VOCs20.074t/a，颗粒物0.373t/a</w:t>
            </w:r>
            <w:r>
              <w:rPr>
                <w:rFonts w:hint="eastAsia"/>
              </w:rPr>
              <w:t>。</w:t>
            </w:r>
          </w:p>
          <w:p>
            <w:pPr>
              <w:pStyle w:val="5"/>
              <w:spacing w:before="0"/>
              <w:rPr>
                <w:rFonts w:hint="default"/>
              </w:rPr>
            </w:pPr>
            <w:r>
              <w:t>3.</w:t>
            </w:r>
            <w:r>
              <w:rPr>
                <w:rFonts w:hint="eastAsia"/>
                <w:lang w:val="en-US" w:eastAsia="zh-CN"/>
              </w:rPr>
              <w:t>5</w:t>
            </w:r>
            <w:r>
              <w:t>总量控制平衡方案</w:t>
            </w:r>
          </w:p>
          <w:p>
            <w:pPr>
              <w:ind w:firstLine="420"/>
            </w:pPr>
            <w:r>
              <w:rPr>
                <w:rFonts w:hint="eastAsia"/>
              </w:rPr>
              <w:t>本项目</w:t>
            </w:r>
            <w:r>
              <w:t>VOCs</w:t>
            </w:r>
            <w:r>
              <w:rPr>
                <w:rFonts w:hint="eastAsia"/>
              </w:rPr>
              <w:t>新增量为+0.776t/a，</w:t>
            </w:r>
            <w:r>
              <w:rPr>
                <w:rFonts w:hint="eastAsia"/>
                <w:lang w:val="en-US" w:eastAsia="zh-CN"/>
              </w:rPr>
              <w:t>COD新增量为0.166t/a，氨氮新增量为0.008t/a。</w:t>
            </w:r>
            <w:r>
              <w:rPr>
                <w:rFonts w:hint="eastAsia"/>
              </w:rPr>
              <w:t>项目各污染物区域替代平衡削减量可向嘉兴市生态环境局海宁分局申请，在区域内调剂平衡。待项目区域替代削减方案落实后，本项目污染物总量指标能够得到平衡，符合总量控制要求。</w:t>
            </w:r>
          </w:p>
          <w:p>
            <w:pPr>
              <w:adjustRightInd w:val="0"/>
              <w:spacing w:line="360" w:lineRule="auto"/>
              <w:ind w:firstLine="480"/>
              <w:rPr>
                <w:color w:val="FF0000"/>
                <w:sz w:val="24"/>
                <w:lang w:bidi="en-US"/>
              </w:rPr>
            </w:pPr>
          </w:p>
          <w:p>
            <w:pPr>
              <w:spacing w:before="31" w:beforeLines="10" w:line="440" w:lineRule="atLeast"/>
              <w:ind w:firstLine="480"/>
              <w:rPr>
                <w:sz w:val="24"/>
                <w:szCs w:val="20"/>
              </w:rPr>
            </w:pPr>
          </w:p>
          <w:p>
            <w:pPr>
              <w:ind w:firstLine="420"/>
            </w:pPr>
          </w:p>
          <w:p>
            <w:pPr>
              <w:ind w:firstLine="420"/>
            </w:pPr>
          </w:p>
          <w:p>
            <w:pPr>
              <w:ind w:firstLine="420"/>
            </w:pPr>
          </w:p>
          <w:p>
            <w:pPr>
              <w:ind w:firstLine="0" w:firstLineChars="0"/>
            </w:pPr>
          </w:p>
        </w:tc>
      </w:tr>
    </w:tbl>
    <w:p>
      <w:pPr>
        <w:rPr>
          <w:rFonts w:ascii="宋体" w:hAnsi="宋体" w:cs="宋体"/>
          <w:sz w:val="36"/>
          <w:szCs w:val="36"/>
        </w:rPr>
      </w:pPr>
      <w:r>
        <w:rPr>
          <w:rFonts w:hint="eastAsia" w:ascii="宋体" w:hAnsi="宋体" w:cs="宋体"/>
          <w:sz w:val="36"/>
          <w:szCs w:val="36"/>
        </w:rPr>
        <w:br w:type="page"/>
      </w:r>
    </w:p>
    <w:p>
      <w:pPr>
        <w:pStyle w:val="4"/>
        <w:numPr>
          <w:ilvl w:val="-1"/>
          <w:numId w:val="0"/>
        </w:numPr>
        <w:ind w:firstLine="420" w:firstLineChars="0"/>
        <w:rPr>
          <w:rStyle w:val="21"/>
          <w:b/>
          <w:bCs/>
        </w:rPr>
      </w:pPr>
      <w:bookmarkStart w:id="29" w:name="_Toc13463"/>
      <w:bookmarkStart w:id="30" w:name="_Toc5110"/>
      <w:bookmarkStart w:id="31" w:name="_Toc15120_WPSOffice_Level1"/>
      <w:bookmarkStart w:id="32" w:name="_Toc13748"/>
      <w:r>
        <w:rPr>
          <w:rStyle w:val="21"/>
          <w:rFonts w:hint="eastAsia"/>
          <w:b/>
          <w:bCs/>
          <w:lang w:val="en-US" w:eastAsia="zh-CN"/>
        </w:rPr>
        <w:t>四、</w:t>
      </w:r>
      <w:r>
        <w:rPr>
          <w:rStyle w:val="21"/>
          <w:rFonts w:hint="eastAsia"/>
          <w:b/>
          <w:bCs/>
        </w:rPr>
        <w:t>主要环境影响和保护措施</w:t>
      </w:r>
      <w:bookmarkEnd w:id="29"/>
      <w:bookmarkEnd w:id="30"/>
      <w:bookmarkEnd w:id="31"/>
      <w:bookmarkEnd w:id="32"/>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vAlign w:val="center"/>
          </w:tcPr>
          <w:p>
            <w:pPr>
              <w:pStyle w:val="20"/>
              <w:rPr>
                <w:sz w:val="21"/>
                <w:szCs w:val="21"/>
              </w:rPr>
            </w:pPr>
            <w:r>
              <w:rPr>
                <w:sz w:val="21"/>
                <w:szCs w:val="21"/>
              </w:rPr>
              <w:t>施工</w:t>
            </w:r>
          </w:p>
          <w:p>
            <w:pPr>
              <w:pStyle w:val="20"/>
              <w:rPr>
                <w:sz w:val="21"/>
                <w:szCs w:val="21"/>
              </w:rPr>
            </w:pPr>
            <w:r>
              <w:rPr>
                <w:sz w:val="21"/>
                <w:szCs w:val="21"/>
              </w:rPr>
              <w:t>期环</w:t>
            </w:r>
          </w:p>
          <w:p>
            <w:pPr>
              <w:pStyle w:val="20"/>
              <w:rPr>
                <w:sz w:val="21"/>
                <w:szCs w:val="21"/>
              </w:rPr>
            </w:pPr>
            <w:r>
              <w:rPr>
                <w:sz w:val="21"/>
                <w:szCs w:val="21"/>
              </w:rPr>
              <w:t>境保</w:t>
            </w:r>
          </w:p>
          <w:p>
            <w:pPr>
              <w:pStyle w:val="20"/>
              <w:rPr>
                <w:sz w:val="21"/>
                <w:szCs w:val="21"/>
              </w:rPr>
            </w:pPr>
            <w:r>
              <w:rPr>
                <w:sz w:val="21"/>
                <w:szCs w:val="21"/>
              </w:rPr>
              <w:t>护措</w:t>
            </w:r>
          </w:p>
          <w:p>
            <w:pPr>
              <w:pStyle w:val="20"/>
              <w:rPr>
                <w:sz w:val="21"/>
                <w:szCs w:val="21"/>
              </w:rPr>
            </w:pPr>
            <w:r>
              <w:rPr>
                <w:sz w:val="21"/>
                <w:szCs w:val="21"/>
              </w:rPr>
              <w:t>施</w:t>
            </w:r>
          </w:p>
        </w:tc>
        <w:tc>
          <w:tcPr>
            <w:tcW w:w="8099" w:type="dxa"/>
            <w:vAlign w:val="center"/>
          </w:tcPr>
          <w:p>
            <w:pPr>
              <w:pStyle w:val="5"/>
              <w:spacing w:before="0"/>
              <w:rPr>
                <w:rFonts w:hint="default"/>
              </w:rPr>
            </w:pPr>
            <w:r>
              <w:t>4.1施工期环境影响和保护措施</w:t>
            </w:r>
          </w:p>
          <w:p>
            <w:pPr>
              <w:ind w:firstLine="420"/>
            </w:pPr>
            <w:r>
              <w:rPr>
                <w:rFonts w:hint="eastAsia"/>
              </w:rPr>
              <w:t>本项目利用企业自有厂房进行生产线建设并生产，本项目施工期仅为设备的安装调试，产生的污染主要是设备安装时发出的噪声，此部分噪声多为瞬时噪声，且可为周边环境所承受，施工期较短，施工期结束后影响随之消失，故本环评在此不做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7" w:hRule="atLeast"/>
          <w:jc w:val="center"/>
        </w:trPr>
        <w:tc>
          <w:tcPr>
            <w:tcW w:w="423" w:type="dxa"/>
            <w:vAlign w:val="center"/>
          </w:tcPr>
          <w:p>
            <w:pPr>
              <w:pStyle w:val="20"/>
              <w:rPr>
                <w:sz w:val="21"/>
                <w:szCs w:val="21"/>
              </w:rPr>
            </w:pPr>
            <w:r>
              <w:rPr>
                <w:rFonts w:hint="eastAsia"/>
                <w:sz w:val="21"/>
                <w:szCs w:val="21"/>
              </w:rPr>
              <w:t>运营期环境影响和保护措施</w:t>
            </w:r>
          </w:p>
        </w:tc>
        <w:tc>
          <w:tcPr>
            <w:tcW w:w="8099" w:type="dxa"/>
          </w:tcPr>
          <w:p>
            <w:pPr>
              <w:pStyle w:val="5"/>
              <w:spacing w:before="0"/>
              <w:rPr>
                <w:rFonts w:hint="default"/>
                <w:spacing w:val="-10"/>
              </w:rPr>
            </w:pPr>
            <w:r>
              <w:rPr>
                <w:spacing w:val="-10"/>
              </w:rPr>
              <w:t>4.2</w:t>
            </w:r>
            <w:r>
              <w:t>运营期</w:t>
            </w:r>
            <w:r>
              <w:rPr>
                <w:spacing w:val="-10"/>
              </w:rPr>
              <w:t>大气</w:t>
            </w:r>
            <w:r>
              <w:t>环境影响和保护措施</w:t>
            </w:r>
          </w:p>
          <w:p>
            <w:pPr>
              <w:pStyle w:val="6"/>
              <w:rPr>
                <w:rFonts w:hint="eastAsia" w:eastAsia="宋体"/>
                <w:shd w:val="clear" w:fill="FFFF00"/>
                <w:lang w:val="en-US" w:eastAsia="zh-CN"/>
              </w:rPr>
            </w:pPr>
            <w:r>
              <w:t>4.2.1.废气源强分析</w:t>
            </w:r>
          </w:p>
          <w:p>
            <w:pPr>
              <w:ind w:firstLine="422" w:firstLineChars="200"/>
              <w:rPr>
                <w:rFonts w:hint="default" w:eastAsia="宋体"/>
                <w:b/>
                <w:bCs/>
                <w:lang w:val="en-US" w:eastAsia="zh-CN"/>
              </w:rPr>
            </w:pPr>
            <w:r>
              <w:rPr>
                <w:rFonts w:hint="eastAsia"/>
                <w:b/>
                <w:bCs/>
                <w:lang w:eastAsia="zh-CN"/>
              </w:rPr>
              <w:t>（</w:t>
            </w:r>
            <w:r>
              <w:rPr>
                <w:rFonts w:hint="eastAsia"/>
                <w:b/>
                <w:bCs/>
                <w:lang w:val="en-US" w:eastAsia="zh-CN"/>
              </w:rPr>
              <w:t>1）激光清洁废气（G1-1）</w:t>
            </w:r>
          </w:p>
          <w:p>
            <w:pPr>
              <w:ind w:firstLine="420"/>
            </w:pPr>
            <w:r>
              <w:rPr>
                <w:rFonts w:hint="eastAsia"/>
                <w:color w:val="auto"/>
              </w:rPr>
              <w:t>本项目2B模组PACK生产线的电芯极柱在焊接前需要进行激光清洁，激光清洁过程中高能激光束照射到待清洗的部位，以光剥离、气化、烧蚀等作用过程，使工件表面的氧化物、灰尘等污染物脱离物体表面，达到清洁的目的。激光清洁废气主要成分是颗粒物，经烟尘净化装置收集处理后洁净间内排放，由于产生量较小，本项目不再进行定量分析。</w:t>
            </w:r>
          </w:p>
          <w:p>
            <w:pPr>
              <w:ind w:firstLine="422" w:firstLineChars="200"/>
              <w:rPr>
                <w:rFonts w:hint="eastAsia" w:eastAsia="宋体"/>
                <w:b/>
                <w:bCs/>
                <w:lang w:eastAsia="zh-CN"/>
              </w:rPr>
            </w:pPr>
            <w:r>
              <w:rPr>
                <w:rFonts w:hint="eastAsia"/>
                <w:b/>
                <w:bCs/>
                <w:lang w:eastAsia="zh-CN"/>
              </w:rPr>
              <w:t>（</w:t>
            </w:r>
            <w:r>
              <w:rPr>
                <w:rFonts w:hint="eastAsia"/>
                <w:b/>
                <w:bCs/>
                <w:lang w:val="en-US" w:eastAsia="zh-CN"/>
              </w:rPr>
              <w:t>2）</w:t>
            </w:r>
            <w:r>
              <w:rPr>
                <w:rFonts w:hint="eastAsia"/>
                <w:b/>
                <w:bCs/>
              </w:rPr>
              <w:t>激光焊接工序产生的颗粒物</w:t>
            </w:r>
            <w:r>
              <w:rPr>
                <w:rFonts w:hint="eastAsia"/>
                <w:b/>
                <w:bCs/>
                <w:lang w:eastAsia="zh-CN"/>
              </w:rPr>
              <w:t>（</w:t>
            </w:r>
            <w:r>
              <w:rPr>
                <w:rFonts w:hint="eastAsia"/>
                <w:b/>
                <w:bCs/>
                <w:lang w:val="en-US" w:eastAsia="zh-CN"/>
              </w:rPr>
              <w:t>G1-2</w:t>
            </w:r>
            <w:r>
              <w:rPr>
                <w:rFonts w:hint="eastAsia"/>
                <w:b/>
                <w:bCs/>
                <w:lang w:eastAsia="zh-CN"/>
              </w:rPr>
              <w:t>）</w:t>
            </w:r>
          </w:p>
          <w:p>
            <w:pPr>
              <w:ind w:firstLine="420"/>
            </w:pPr>
            <w:r>
              <w:rPr>
                <w:rFonts w:hint="eastAsia"/>
              </w:rPr>
              <w:t>激光焊接过程中，激光束使焊件材料熔融后粘固为一体，不使用焊丝，因此焊接粉尘产生量非常小，评价不定量分析。生产车间为无尘车间，通过车间的新风过滤系统和除湿系统处理后，车间粉尘的无组织排放可以忽略不计。</w:t>
            </w:r>
          </w:p>
          <w:p>
            <w:pPr>
              <w:ind w:firstLine="422" w:firstLineChars="200"/>
              <w:rPr>
                <w:rFonts w:hint="eastAsia"/>
                <w:b/>
                <w:bCs/>
                <w:lang w:eastAsia="zh-CN"/>
              </w:rPr>
            </w:pPr>
            <w:r>
              <w:rPr>
                <w:rFonts w:hint="eastAsia"/>
                <w:b/>
                <w:bCs/>
                <w:lang w:eastAsia="zh-CN"/>
              </w:rPr>
              <w:t>（</w:t>
            </w:r>
            <w:r>
              <w:rPr>
                <w:rFonts w:hint="eastAsia"/>
                <w:b/>
                <w:bCs/>
                <w:lang w:val="en-US" w:eastAsia="zh-CN"/>
              </w:rPr>
              <w:t>3</w:t>
            </w:r>
            <w:r>
              <w:rPr>
                <w:rFonts w:hint="eastAsia"/>
                <w:b/>
                <w:bCs/>
                <w:lang w:eastAsia="zh-CN"/>
              </w:rPr>
              <w:t>）2B 生产线涂胶废气 G</w:t>
            </w:r>
            <w:r>
              <w:rPr>
                <w:rFonts w:hint="eastAsia"/>
                <w:b/>
                <w:bCs/>
                <w:lang w:val="en-US" w:eastAsia="zh-CN"/>
              </w:rPr>
              <w:t>2-1</w:t>
            </w:r>
            <w:r>
              <w:rPr>
                <w:rFonts w:hint="eastAsia"/>
                <w:b/>
                <w:bCs/>
                <w:lang w:eastAsia="zh-CN"/>
              </w:rPr>
              <w:t>（非甲烷总烃）</w:t>
            </w:r>
          </w:p>
          <w:p>
            <w:pPr>
              <w:bidi w:val="0"/>
              <w:rPr>
                <w:rFonts w:hint="eastAsia"/>
                <w:lang w:eastAsia="zh-CN"/>
              </w:rPr>
            </w:pPr>
            <w:r>
              <w:rPr>
                <w:rFonts w:hint="eastAsia"/>
                <w:lang w:eastAsia="zh-CN"/>
              </w:rPr>
              <w:t>2B储能PACK装配过程的下壳体装配工序需要用到导热结构胶，用胶量</w:t>
            </w:r>
            <w:r>
              <w:rPr>
                <w:rFonts w:hint="eastAsia"/>
                <w:lang w:val="en-US" w:eastAsia="zh-CN"/>
              </w:rPr>
              <w:t>174</w:t>
            </w:r>
            <w:r>
              <w:rPr>
                <w:rFonts w:hint="eastAsia"/>
                <w:lang w:eastAsia="zh-CN"/>
              </w:rPr>
              <w:t>吨/年。根据企业提供的MSDS报告，导热结构胶主要分AB两个组分，A组分主要是聚醚多元醇和氢氧化铝，B 组分主要是异氰酸酯和氢氧化铝，两者结合发生反应生成聚氨酯胶。本项目使用的导热结构胶属于本体型胶黏剂，根据原材料供应商提供的产品检测报告，导热结构胶在即用状态下总挥发性有机物含量为2g/kg，因此本报告取2g/kg 计算项目导热结构胶使用过程中的VOC产生量。本项目采用的胶黏剂VOCs含量低于10%，根据分析非甲烷总烃排放浓度稳定达标，排放绩效满足《关于支持低挥发性有机物含量原辅材料源头替代的意见》（浙环发[2021]13 号）中的I级绩效要求。</w:t>
            </w:r>
          </w:p>
          <w:p>
            <w:pPr>
              <w:bidi w:val="0"/>
              <w:rPr>
                <w:rFonts w:hint="eastAsia"/>
                <w:lang w:eastAsia="zh-CN"/>
              </w:rPr>
            </w:pPr>
            <w:r>
              <w:rPr>
                <w:rFonts w:hint="eastAsia"/>
                <w:lang w:eastAsia="zh-CN"/>
              </w:rPr>
              <w:t>经核算，企业涂胶工序VOC产生量为</w:t>
            </w:r>
            <w:r>
              <w:rPr>
                <w:rFonts w:hint="eastAsia"/>
                <w:lang w:val="en-US" w:eastAsia="zh-CN"/>
              </w:rPr>
              <w:t>0.348</w:t>
            </w:r>
            <w:r>
              <w:rPr>
                <w:rFonts w:hint="eastAsia"/>
                <w:lang w:eastAsia="zh-CN"/>
              </w:rPr>
              <w:t>t/a，于洁净间内无组织排放，年排放时间7</w:t>
            </w:r>
            <w:r>
              <w:rPr>
                <w:rFonts w:hint="eastAsia"/>
                <w:lang w:val="en-US" w:eastAsia="zh-CN"/>
              </w:rPr>
              <w:t>92</w:t>
            </w:r>
            <w:r>
              <w:rPr>
                <w:rFonts w:hint="eastAsia"/>
                <w:lang w:eastAsia="zh-CN"/>
              </w:rPr>
              <w:t>0h，排放速率</w:t>
            </w:r>
            <w:r>
              <w:rPr>
                <w:rFonts w:hint="eastAsia"/>
                <w:lang w:val="en-US" w:eastAsia="zh-CN"/>
              </w:rPr>
              <w:t>0.044</w:t>
            </w:r>
            <w:r>
              <w:rPr>
                <w:rFonts w:hint="eastAsia"/>
                <w:lang w:eastAsia="zh-CN"/>
              </w:rPr>
              <w:t>kg/h。</w:t>
            </w:r>
          </w:p>
          <w:p>
            <w:pPr>
              <w:ind w:firstLine="422" w:firstLineChars="200"/>
              <w:rPr>
                <w:rFonts w:hint="eastAsia"/>
                <w:b/>
                <w:bCs/>
                <w:lang w:eastAsia="zh-CN"/>
              </w:rPr>
            </w:pPr>
            <w:r>
              <w:rPr>
                <w:rFonts w:hint="eastAsia"/>
                <w:b/>
                <w:bCs/>
                <w:lang w:eastAsia="zh-CN"/>
              </w:rPr>
              <w:t>（</w:t>
            </w:r>
            <w:r>
              <w:rPr>
                <w:rFonts w:hint="eastAsia"/>
                <w:b/>
                <w:bCs/>
                <w:lang w:val="en-US" w:eastAsia="zh-CN"/>
              </w:rPr>
              <w:t>4</w:t>
            </w:r>
            <w:r>
              <w:rPr>
                <w:rFonts w:hint="eastAsia"/>
                <w:b/>
                <w:bCs/>
                <w:lang w:eastAsia="zh-CN"/>
              </w:rPr>
              <w:t>）</w:t>
            </w:r>
            <w:r>
              <w:rPr>
                <w:rFonts w:hint="eastAsia"/>
                <w:b/>
                <w:bCs/>
                <w:lang w:val="en-US" w:eastAsia="zh-CN"/>
              </w:rPr>
              <w:t>系统组装打</w:t>
            </w:r>
            <w:r>
              <w:rPr>
                <w:rFonts w:hint="eastAsia"/>
                <w:b/>
                <w:bCs/>
                <w:lang w:eastAsia="zh-CN"/>
              </w:rPr>
              <w:t>胶废气 G3-</w:t>
            </w:r>
            <w:r>
              <w:rPr>
                <w:rFonts w:hint="eastAsia"/>
                <w:b/>
                <w:bCs/>
                <w:lang w:val="en-US" w:eastAsia="zh-CN"/>
              </w:rPr>
              <w:t>1</w:t>
            </w:r>
            <w:r>
              <w:rPr>
                <w:rFonts w:hint="eastAsia"/>
                <w:b/>
                <w:bCs/>
                <w:lang w:eastAsia="zh-CN"/>
              </w:rPr>
              <w:t>（非甲烷总烃）</w:t>
            </w:r>
          </w:p>
          <w:p>
            <w:pPr>
              <w:bidi w:val="0"/>
              <w:rPr>
                <w:rFonts w:hint="eastAsia"/>
                <w:lang w:eastAsia="zh-CN"/>
              </w:rPr>
            </w:pPr>
            <w:r>
              <w:rPr>
                <w:rFonts w:hint="eastAsia"/>
                <w:lang w:val="en-US" w:eastAsia="zh-CN"/>
              </w:rPr>
              <w:t>系统组装过程中需要使用硅酮密封胶对连接处进行密封</w:t>
            </w:r>
            <w:r>
              <w:rPr>
                <w:rFonts w:hint="eastAsia"/>
                <w:lang w:eastAsia="zh-CN"/>
              </w:rPr>
              <w:t>，用胶量</w:t>
            </w:r>
            <w:r>
              <w:rPr>
                <w:rFonts w:hint="eastAsia"/>
                <w:lang w:val="en-US" w:eastAsia="zh-CN"/>
              </w:rPr>
              <w:t>4.8</w:t>
            </w:r>
            <w:r>
              <w:rPr>
                <w:rFonts w:hint="eastAsia"/>
                <w:lang w:eastAsia="zh-CN"/>
              </w:rPr>
              <w:t>吨/年。本项目使用的</w:t>
            </w:r>
            <w:r>
              <w:rPr>
                <w:rFonts w:hint="eastAsia"/>
                <w:lang w:val="en-US" w:eastAsia="zh-CN"/>
              </w:rPr>
              <w:t>硅酮密封胶</w:t>
            </w:r>
            <w:r>
              <w:rPr>
                <w:rFonts w:hint="eastAsia"/>
                <w:lang w:eastAsia="zh-CN"/>
              </w:rPr>
              <w:t>属于本体型胶黏剂，根据原材料供应商提供的产品检测报告，</w:t>
            </w:r>
            <w:r>
              <w:rPr>
                <w:rFonts w:hint="eastAsia"/>
                <w:lang w:val="en-US" w:eastAsia="zh-CN"/>
              </w:rPr>
              <w:t>硅酮密封胶</w:t>
            </w:r>
            <w:r>
              <w:rPr>
                <w:rFonts w:hint="eastAsia"/>
                <w:lang w:eastAsia="zh-CN"/>
              </w:rPr>
              <w:t>在即用状态下总挥发性有机物含量为</w:t>
            </w:r>
            <w:r>
              <w:rPr>
                <w:rFonts w:hint="eastAsia"/>
                <w:lang w:val="en-US" w:eastAsia="zh-CN"/>
              </w:rPr>
              <w:t>47</w:t>
            </w:r>
            <w:r>
              <w:rPr>
                <w:rFonts w:hint="eastAsia"/>
                <w:lang w:eastAsia="zh-CN"/>
              </w:rPr>
              <w:t>g</w:t>
            </w:r>
            <w:r>
              <w:rPr>
                <w:rFonts w:hint="eastAsia"/>
                <w:lang w:val="en-US" w:eastAsia="zh-CN"/>
              </w:rPr>
              <w:t>L</w:t>
            </w:r>
            <w:r>
              <w:rPr>
                <w:rFonts w:hint="eastAsia"/>
                <w:lang w:eastAsia="zh-CN"/>
              </w:rPr>
              <w:t>，</w:t>
            </w:r>
            <w:r>
              <w:rPr>
                <w:rFonts w:hint="eastAsia"/>
                <w:lang w:val="en-US" w:eastAsia="zh-CN"/>
              </w:rPr>
              <w:t>根据密度计算</w:t>
            </w:r>
            <w:r>
              <w:rPr>
                <w:rFonts w:hint="eastAsia"/>
                <w:lang w:eastAsia="zh-CN"/>
              </w:rPr>
              <w:t>本报告取</w:t>
            </w:r>
            <w:r>
              <w:rPr>
                <w:rFonts w:hint="eastAsia"/>
                <w:lang w:val="en-US" w:eastAsia="zh-CN"/>
              </w:rPr>
              <w:t>39.17</w:t>
            </w:r>
            <w:r>
              <w:rPr>
                <w:rFonts w:hint="eastAsia"/>
                <w:lang w:eastAsia="zh-CN"/>
              </w:rPr>
              <w:t>g/kg 计算项目</w:t>
            </w:r>
            <w:r>
              <w:rPr>
                <w:rFonts w:hint="eastAsia"/>
                <w:lang w:val="en-US" w:eastAsia="zh-CN"/>
              </w:rPr>
              <w:t>硅酮密封胶</w:t>
            </w:r>
            <w:r>
              <w:rPr>
                <w:rFonts w:hint="eastAsia"/>
                <w:lang w:eastAsia="zh-CN"/>
              </w:rPr>
              <w:t>使用过程中的VOC产生量。本项目采用的胶黏剂VOCs含量低于10%，根据分析非甲烷总烃排放浓度稳定达标，排放绩效满足《关于支持低挥发性有机物含量原辅材料源头替代的意见》（浙环发[2021]13 号）中的I级绩效要求。</w:t>
            </w:r>
          </w:p>
          <w:p>
            <w:pPr>
              <w:bidi w:val="0"/>
              <w:rPr>
                <w:rFonts w:hint="eastAsia"/>
                <w:b/>
                <w:bCs/>
                <w:lang w:eastAsia="zh-CN"/>
              </w:rPr>
            </w:pPr>
            <w:r>
              <w:rPr>
                <w:rFonts w:hint="eastAsia"/>
                <w:lang w:eastAsia="zh-CN"/>
              </w:rPr>
              <w:t>经核算，企业</w:t>
            </w:r>
            <w:r>
              <w:rPr>
                <w:rFonts w:hint="eastAsia"/>
                <w:lang w:val="en-US" w:eastAsia="zh-CN"/>
              </w:rPr>
              <w:t>打胶</w:t>
            </w:r>
            <w:r>
              <w:rPr>
                <w:rFonts w:hint="eastAsia"/>
                <w:lang w:eastAsia="zh-CN"/>
              </w:rPr>
              <w:t>工序VOC产生量为</w:t>
            </w:r>
            <w:r>
              <w:rPr>
                <w:rFonts w:hint="eastAsia"/>
                <w:lang w:val="en-US" w:eastAsia="zh-CN"/>
              </w:rPr>
              <w:t>0.188</w:t>
            </w:r>
            <w:r>
              <w:rPr>
                <w:rFonts w:hint="eastAsia"/>
                <w:lang w:eastAsia="zh-CN"/>
              </w:rPr>
              <w:t>t/a，于洁净间内无组织排放，年排放时间7</w:t>
            </w:r>
            <w:r>
              <w:rPr>
                <w:rFonts w:hint="eastAsia"/>
                <w:lang w:val="en-US" w:eastAsia="zh-CN"/>
              </w:rPr>
              <w:t>92</w:t>
            </w:r>
            <w:r>
              <w:rPr>
                <w:rFonts w:hint="eastAsia"/>
                <w:lang w:eastAsia="zh-CN"/>
              </w:rPr>
              <w:t>0h，排放速率</w:t>
            </w:r>
            <w:r>
              <w:rPr>
                <w:rFonts w:hint="eastAsia"/>
                <w:lang w:val="en-US" w:eastAsia="zh-CN"/>
              </w:rPr>
              <w:t>0.024</w:t>
            </w:r>
            <w:r>
              <w:rPr>
                <w:rFonts w:hint="eastAsia"/>
                <w:lang w:eastAsia="zh-CN"/>
              </w:rPr>
              <w:t>kg/h。</w:t>
            </w:r>
          </w:p>
          <w:p>
            <w:pPr>
              <w:bidi w:val="0"/>
              <w:rPr>
                <w:rFonts w:hint="eastAsia"/>
                <w:b/>
                <w:bCs/>
                <w:lang w:val="en-US" w:eastAsia="zh-CN"/>
              </w:rPr>
            </w:pPr>
            <w:r>
              <w:rPr>
                <w:rFonts w:hint="eastAsia"/>
                <w:b/>
                <w:bCs/>
                <w:lang w:eastAsia="zh-CN"/>
              </w:rPr>
              <w:t>（</w:t>
            </w:r>
            <w:r>
              <w:rPr>
                <w:rFonts w:hint="eastAsia"/>
                <w:b/>
                <w:bCs/>
                <w:lang w:val="en-US" w:eastAsia="zh-CN"/>
              </w:rPr>
              <w:t>5</w:t>
            </w:r>
            <w:r>
              <w:rPr>
                <w:rFonts w:hint="eastAsia"/>
                <w:b/>
                <w:bCs/>
                <w:lang w:eastAsia="zh-CN"/>
              </w:rPr>
              <w:t>）</w:t>
            </w:r>
            <w:r>
              <w:rPr>
                <w:rFonts w:hint="eastAsia"/>
                <w:b/>
                <w:bCs/>
                <w:lang w:val="en-US" w:eastAsia="zh-CN"/>
              </w:rPr>
              <w:t>设备擦拭废气</w:t>
            </w:r>
          </w:p>
          <w:p>
            <w:pPr>
              <w:bidi w:val="0"/>
              <w:rPr>
                <w:rFonts w:hint="default"/>
                <w:lang w:val="en-US" w:eastAsia="zh-CN"/>
              </w:rPr>
            </w:pPr>
            <w:r>
              <w:rPr>
                <w:rFonts w:hint="default"/>
                <w:lang w:val="en-US" w:eastAsia="zh-CN"/>
              </w:rPr>
              <w:t>本项目设备需定期保养维护，该过程中会涉及采用抹布沾乙醇溶液擦拭</w:t>
            </w:r>
            <w:r>
              <w:rPr>
                <w:rFonts w:hint="eastAsia"/>
                <w:lang w:val="en-US" w:eastAsia="zh-CN"/>
              </w:rPr>
              <w:t>设备</w:t>
            </w:r>
            <w:r>
              <w:rPr>
                <w:rFonts w:hint="default"/>
                <w:lang w:val="en-US" w:eastAsia="zh-CN"/>
              </w:rPr>
              <w:t>，根据企业提供的资料，设备擦拭用的乙醇量约</w:t>
            </w:r>
            <w:r>
              <w:rPr>
                <w:rFonts w:hint="eastAsia"/>
                <w:lang w:val="en-US" w:eastAsia="zh-CN"/>
              </w:rPr>
              <w:t>0.24t</w:t>
            </w:r>
            <w:r>
              <w:rPr>
                <w:rFonts w:hint="default"/>
                <w:lang w:val="en-US" w:eastAsia="zh-CN"/>
              </w:rPr>
              <w:t>/a，擦拭的酒精量较少，产生的乙醇废气仅</w:t>
            </w:r>
            <w:r>
              <w:rPr>
                <w:rFonts w:hint="eastAsia"/>
                <w:lang w:val="en-US" w:eastAsia="zh-CN"/>
              </w:rPr>
              <w:t>0.24</w:t>
            </w:r>
            <w:r>
              <w:rPr>
                <w:rFonts w:hint="default"/>
                <w:lang w:val="en-US" w:eastAsia="zh-CN"/>
              </w:rPr>
              <w:t>t/a，且擦拭点位较分散，无法进行有效收集，因此在车间内无组织排放</w:t>
            </w:r>
            <w:r>
              <w:rPr>
                <w:rFonts w:hint="eastAsia"/>
                <w:lang w:val="en-US" w:eastAsia="zh-CN"/>
              </w:rPr>
              <w:t>，</w:t>
            </w:r>
            <w:r>
              <w:rPr>
                <w:rFonts w:hint="eastAsia"/>
                <w:lang w:eastAsia="zh-CN"/>
              </w:rPr>
              <w:t>年排放时间7</w:t>
            </w:r>
            <w:r>
              <w:rPr>
                <w:rFonts w:hint="eastAsia"/>
                <w:lang w:val="en-US" w:eastAsia="zh-CN"/>
              </w:rPr>
              <w:t>92</w:t>
            </w:r>
            <w:r>
              <w:rPr>
                <w:rFonts w:hint="eastAsia"/>
                <w:lang w:eastAsia="zh-CN"/>
              </w:rPr>
              <w:t>0h，排放速率</w:t>
            </w:r>
            <w:r>
              <w:rPr>
                <w:rFonts w:hint="eastAsia"/>
                <w:lang w:val="en-US" w:eastAsia="zh-CN"/>
              </w:rPr>
              <w:t>0.030</w:t>
            </w:r>
            <w:r>
              <w:rPr>
                <w:rFonts w:hint="eastAsia"/>
                <w:lang w:eastAsia="zh-CN"/>
              </w:rPr>
              <w:t>kg/h。</w:t>
            </w:r>
          </w:p>
          <w:p>
            <w:pPr>
              <w:ind w:firstLine="422" w:firstLineChars="200"/>
              <w:rPr>
                <w:rFonts w:hint="eastAsia"/>
                <w:b/>
                <w:bCs/>
                <w:lang w:eastAsia="zh-CN"/>
              </w:rPr>
            </w:pPr>
            <w:r>
              <w:rPr>
                <w:rFonts w:hint="eastAsia"/>
                <w:b/>
                <w:bCs/>
                <w:lang w:eastAsia="zh-CN"/>
              </w:rPr>
              <w:t>（</w:t>
            </w:r>
            <w:r>
              <w:rPr>
                <w:rFonts w:hint="eastAsia"/>
                <w:b/>
                <w:bCs/>
                <w:lang w:val="en-US" w:eastAsia="zh-CN"/>
              </w:rPr>
              <w:t>6</w:t>
            </w:r>
            <w:r>
              <w:rPr>
                <w:rFonts w:hint="eastAsia"/>
                <w:b/>
                <w:bCs/>
                <w:lang w:eastAsia="zh-CN"/>
              </w:rPr>
              <w:t>）油烟废气</w:t>
            </w:r>
          </w:p>
          <w:p>
            <w:pPr>
              <w:bidi w:val="0"/>
              <w:rPr>
                <w:rFonts w:hint="eastAsia"/>
                <w:lang w:eastAsia="zh-CN"/>
              </w:rPr>
            </w:pPr>
            <w:r>
              <w:rPr>
                <w:rFonts w:hint="eastAsia"/>
                <w:lang w:val="en-US" w:eastAsia="zh-CN"/>
              </w:rPr>
              <w:t>本</w:t>
            </w:r>
            <w:r>
              <w:rPr>
                <w:rFonts w:hint="eastAsia"/>
                <w:lang w:eastAsia="zh-CN"/>
              </w:rPr>
              <w:t>项目在</w:t>
            </w:r>
            <w:r>
              <w:rPr>
                <w:rFonts w:hint="eastAsia"/>
                <w:lang w:val="en-US" w:eastAsia="zh-CN"/>
              </w:rPr>
              <w:t>现有项目审批2500人基础上新增160人</w:t>
            </w:r>
            <w:r>
              <w:rPr>
                <w:rFonts w:hint="eastAsia"/>
                <w:lang w:eastAsia="zh-CN"/>
              </w:rPr>
              <w:t>，在综合楼西侧的1座3F食堂内就餐，由于本项目24小时工作制，按人均消耗动植物油0.04kg/d 计，则动植物油消耗量</w:t>
            </w:r>
            <w:r>
              <w:rPr>
                <w:rFonts w:hint="eastAsia"/>
                <w:lang w:val="en-US" w:eastAsia="zh-CN"/>
              </w:rPr>
              <w:t>35.112</w:t>
            </w:r>
            <w:r>
              <w:rPr>
                <w:rFonts w:hint="eastAsia"/>
                <w:lang w:eastAsia="zh-CN"/>
              </w:rPr>
              <w:t>t/a。烹饪过程油的挥发损失率约3%，估算得食堂油烟产生量为</w:t>
            </w:r>
            <w:r>
              <w:rPr>
                <w:rFonts w:hint="eastAsia"/>
                <w:lang w:val="en-US" w:eastAsia="zh-CN"/>
              </w:rPr>
              <w:t>1.053t</w:t>
            </w:r>
            <w:r>
              <w:rPr>
                <w:rFonts w:hint="eastAsia"/>
                <w:lang w:eastAsia="zh-CN"/>
              </w:rPr>
              <w:t>/a。</w:t>
            </w:r>
          </w:p>
          <w:p>
            <w:pPr>
              <w:bidi w:val="0"/>
              <w:rPr>
                <w:rFonts w:hint="eastAsia"/>
                <w:lang w:eastAsia="zh-CN"/>
              </w:rPr>
            </w:pPr>
            <w:r>
              <w:rPr>
                <w:rFonts w:hint="eastAsia"/>
                <w:lang w:eastAsia="zh-CN"/>
              </w:rPr>
              <w:t>食堂预计设置10个灶台，单个灶台风量不小于4000m</w:t>
            </w:r>
            <w:r>
              <w:rPr>
                <w:rFonts w:hint="eastAsia"/>
                <w:vertAlign w:val="superscript"/>
                <w:lang w:eastAsia="zh-CN"/>
              </w:rPr>
              <w:t>3</w:t>
            </w:r>
            <w:r>
              <w:rPr>
                <w:rFonts w:hint="eastAsia"/>
                <w:lang w:eastAsia="zh-CN"/>
              </w:rPr>
              <w:t>/h，每天运行6小时，则油烟产生浓度为</w:t>
            </w:r>
            <w:r>
              <w:rPr>
                <w:rFonts w:hint="eastAsia"/>
                <w:lang w:val="en-US" w:eastAsia="zh-CN"/>
              </w:rPr>
              <w:t>13.3</w:t>
            </w:r>
            <w:r>
              <w:rPr>
                <w:rFonts w:hint="eastAsia"/>
                <w:lang w:eastAsia="zh-CN"/>
              </w:rPr>
              <w:t>mg/m</w:t>
            </w:r>
            <w:r>
              <w:rPr>
                <w:rFonts w:hint="eastAsia"/>
                <w:vertAlign w:val="superscript"/>
                <w:lang w:eastAsia="zh-CN"/>
              </w:rPr>
              <w:t>3</w:t>
            </w:r>
            <w:r>
              <w:rPr>
                <w:rFonts w:hint="eastAsia"/>
                <w:lang w:eastAsia="zh-CN"/>
              </w:rPr>
              <w:t>。油烟废气经处理效率≥85%的油烟净化器处理后经过烟道高空排放，油烟废气排放浓度</w:t>
            </w:r>
            <w:r>
              <w:rPr>
                <w:rFonts w:hint="eastAsia"/>
                <w:lang w:val="en-US" w:eastAsia="zh-CN"/>
              </w:rPr>
              <w:t>1.995</w:t>
            </w:r>
            <w:r>
              <w:rPr>
                <w:rFonts w:hint="eastAsia"/>
                <w:lang w:eastAsia="zh-CN"/>
              </w:rPr>
              <w:t>mg/m</w:t>
            </w:r>
            <w:r>
              <w:rPr>
                <w:rFonts w:hint="eastAsia"/>
                <w:vertAlign w:val="superscript"/>
                <w:lang w:eastAsia="zh-CN"/>
              </w:rPr>
              <w:t>3</w:t>
            </w:r>
            <w:r>
              <w:rPr>
                <w:rFonts w:hint="eastAsia"/>
                <w:lang w:eastAsia="zh-CN"/>
              </w:rPr>
              <w:t>，能够满足《饮食业油烟排放标准》（GB18483-2001）中2.0mg/m</w:t>
            </w:r>
            <w:r>
              <w:rPr>
                <w:rFonts w:hint="eastAsia"/>
                <w:vertAlign w:val="superscript"/>
                <w:lang w:eastAsia="zh-CN"/>
              </w:rPr>
              <w:t>3</w:t>
            </w:r>
            <w:r>
              <w:rPr>
                <w:rFonts w:hint="eastAsia"/>
                <w:lang w:eastAsia="zh-CN"/>
              </w:rPr>
              <w:t>的排放标准。</w:t>
            </w:r>
          </w:p>
          <w:p>
            <w:pPr>
              <w:bidi w:val="0"/>
              <w:rPr>
                <w:rFonts w:hint="default"/>
                <w:b/>
                <w:bCs/>
                <w:lang w:val="en-US" w:eastAsia="zh-CN"/>
              </w:rPr>
            </w:pPr>
            <w:r>
              <w:rPr>
                <w:rFonts w:hint="eastAsia"/>
                <w:b/>
                <w:bCs/>
                <w:lang w:eastAsia="zh-CN"/>
              </w:rPr>
              <w:t>（</w:t>
            </w:r>
            <w:r>
              <w:rPr>
                <w:rFonts w:hint="eastAsia"/>
                <w:b/>
                <w:bCs/>
                <w:lang w:val="en-US" w:eastAsia="zh-CN"/>
              </w:rPr>
              <w:t>7</w:t>
            </w:r>
            <w:r>
              <w:rPr>
                <w:rFonts w:hint="eastAsia"/>
                <w:b/>
                <w:bCs/>
                <w:lang w:eastAsia="zh-CN"/>
              </w:rPr>
              <w:t>）污水站</w:t>
            </w:r>
            <w:r>
              <w:rPr>
                <w:rFonts w:hint="eastAsia"/>
                <w:b/>
                <w:bCs/>
                <w:lang w:val="en-US" w:eastAsia="zh-CN"/>
              </w:rPr>
              <w:t>废气</w:t>
            </w:r>
          </w:p>
          <w:p>
            <w:pPr>
              <w:bidi w:val="0"/>
              <w:rPr>
                <w:rFonts w:hint="eastAsia"/>
                <w:lang w:eastAsia="zh-CN"/>
              </w:rPr>
            </w:pPr>
            <w:r>
              <w:rPr>
                <w:rFonts w:hint="eastAsia"/>
                <w:lang w:val="en-US" w:eastAsia="zh-CN"/>
              </w:rPr>
              <w:t>本项目仅排放生活污水，</w:t>
            </w:r>
            <w:r>
              <w:rPr>
                <w:rFonts w:hint="eastAsia"/>
                <w:lang w:eastAsia="zh-CN"/>
              </w:rPr>
              <w:t>依托现有废水站进行处理，现有废水池进行加盖收集，经“碱喷淋+除雾+活性炭吸附”装置处理后通过15m高排气筒排放，现有项目环评已考虑恶臭污染物产排情况，本项目新增的废水占比较小，本环评不另行分析。</w:t>
            </w:r>
          </w:p>
          <w:p>
            <w:pPr>
              <w:ind w:firstLine="422" w:firstLineChars="200"/>
              <w:rPr>
                <w:b/>
                <w:bCs/>
              </w:rPr>
            </w:pPr>
            <w:r>
              <w:rPr>
                <w:rFonts w:hint="eastAsia"/>
                <w:b/>
                <w:bCs/>
                <w:lang w:eastAsia="zh-CN"/>
              </w:rPr>
              <w:t>（</w:t>
            </w:r>
            <w:r>
              <w:rPr>
                <w:rFonts w:hint="eastAsia"/>
                <w:b/>
                <w:bCs/>
                <w:lang w:val="en-US" w:eastAsia="zh-CN"/>
              </w:rPr>
              <w:t>8）</w:t>
            </w:r>
            <w:r>
              <w:rPr>
                <w:rFonts w:hint="eastAsia"/>
                <w:b/>
                <w:bCs/>
              </w:rPr>
              <w:t>恶臭废气</w:t>
            </w:r>
          </w:p>
          <w:p>
            <w:pPr>
              <w:ind w:firstLine="420"/>
              <w:rPr>
                <w:rFonts w:hint="eastAsia"/>
              </w:rPr>
            </w:pPr>
            <w:r>
              <w:rPr>
                <w:rFonts w:hint="eastAsia"/>
              </w:rPr>
              <w:t>恶臭污染物是指一切刺激嗅觉器官引起人们不愉快及损害生活环境的气体物质。由于恶臭污染物种类很多，而且大多数恶臭气体是多组分、低浓度的混合物，评价从原辅材料、中间产品及产品物理性质方面，进行逐一定性分析，分析气味的来源，最终分析恶臭污染物存在的可能性。</w:t>
            </w:r>
          </w:p>
          <w:p>
            <w:pPr>
              <w:ind w:firstLine="420"/>
            </w:pPr>
            <w:r>
              <w:rPr>
                <w:rFonts w:hint="eastAsia"/>
              </w:rPr>
              <w:t>经上述分析可知，本项目为</w:t>
            </w:r>
            <w:r>
              <w:rPr>
                <w:rFonts w:hint="eastAsia"/>
                <w:lang w:val="en-US" w:eastAsia="zh-CN"/>
              </w:rPr>
              <w:t>模组组装项目</w:t>
            </w:r>
            <w:r>
              <w:rPr>
                <w:rFonts w:hint="eastAsia"/>
              </w:rPr>
              <w:t>，涉及的原辅料用量不大，且均位于密闭设备、洁净车间内进行，物料通过管道进行密闭化输送，减少装置的跑、冒、滴、漏，减少恶臭污染物的无组织排放，可有效的降低全厂恶臭污染源强。此外。要求建设单位实行定期与不定期恶臭气体监测，发现异常及时采取补救措施，同时搞好厂区内的绿化建设，将恶臭废气对环境的影响降至最低。另外本项目500米范围内无大气敏感点，因此恶臭对敏感点影响在可控范围之内。</w:t>
            </w:r>
          </w:p>
          <w:p>
            <w:pPr>
              <w:ind w:firstLine="422"/>
              <w:rPr>
                <w:b/>
                <w:bCs/>
              </w:rPr>
            </w:pPr>
            <w:r>
              <w:rPr>
                <w:rFonts w:hint="eastAsia"/>
                <w:b/>
                <w:bCs/>
                <w:lang w:eastAsia="zh-CN"/>
              </w:rPr>
              <w:t>（</w:t>
            </w:r>
            <w:r>
              <w:rPr>
                <w:rFonts w:hint="eastAsia"/>
                <w:b/>
                <w:bCs/>
                <w:lang w:val="en-US" w:eastAsia="zh-CN"/>
              </w:rPr>
              <w:t>9）</w:t>
            </w:r>
            <w:r>
              <w:rPr>
                <w:b/>
                <w:bCs/>
              </w:rPr>
              <w:t>废气产生及排放情况汇总</w:t>
            </w:r>
          </w:p>
          <w:p>
            <w:pPr>
              <w:ind w:firstLine="420"/>
              <w:rPr>
                <w:b/>
                <w:bCs/>
                <w:sz w:val="18"/>
                <w:szCs w:val="18"/>
              </w:rPr>
            </w:pPr>
            <w:r>
              <w:t>本项目</w:t>
            </w:r>
            <w:r>
              <w:rPr>
                <w:rFonts w:hint="eastAsia"/>
                <w:lang w:val="en-US" w:eastAsia="zh-CN"/>
              </w:rPr>
              <w:t>生产过程中无有组织废气排放，</w:t>
            </w:r>
            <w:r>
              <w:t>无组织排放情况见表4.2-</w:t>
            </w:r>
            <w:r>
              <w:rPr>
                <w:rFonts w:hint="eastAsia"/>
                <w:lang w:val="en-US" w:eastAsia="zh-CN"/>
              </w:rPr>
              <w:t>1</w:t>
            </w:r>
            <w:r>
              <w:t>。</w:t>
            </w:r>
            <w:bookmarkStart w:id="33" w:name="_Hlk59718720"/>
            <w:bookmarkStart w:id="34" w:name="_Hlk59203155"/>
          </w:p>
          <w:bookmarkEnd w:id="33"/>
          <w:p>
            <w:pPr>
              <w:adjustRightInd/>
              <w:spacing w:before="0"/>
              <w:ind w:firstLine="0" w:firstLineChars="0"/>
              <w:jc w:val="center"/>
              <w:rPr>
                <w:b/>
                <w:bCs/>
              </w:rPr>
            </w:pPr>
            <w:bookmarkStart w:id="35" w:name="_Hlk59718731"/>
            <w:r>
              <w:rPr>
                <w:b/>
                <w:bCs/>
              </w:rPr>
              <w:t>表4.2-</w:t>
            </w:r>
            <w:r>
              <w:rPr>
                <w:rFonts w:hint="eastAsia"/>
                <w:b/>
                <w:bCs/>
                <w:lang w:val="en-US" w:eastAsia="zh-CN"/>
              </w:rPr>
              <w:t>1</w:t>
            </w:r>
            <w:r>
              <w:rPr>
                <w:b/>
                <w:bCs/>
              </w:rPr>
              <w:t xml:space="preserve">  </w:t>
            </w:r>
            <w:r>
              <w:rPr>
                <w:rFonts w:hint="eastAsia"/>
                <w:b/>
                <w:bCs/>
              </w:rPr>
              <w:t>本项目有机废气</w:t>
            </w:r>
            <w:r>
              <w:rPr>
                <w:b/>
                <w:bCs/>
              </w:rPr>
              <w:t>无组织排放情况一览表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642"/>
              <w:gridCol w:w="1320"/>
              <w:gridCol w:w="1658"/>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63" w:type="dxa"/>
                  <w:vMerge w:val="restart"/>
                  <w:vAlign w:val="center"/>
                </w:tcPr>
                <w:p>
                  <w:pPr>
                    <w:pStyle w:val="20"/>
                  </w:pPr>
                  <w:r>
                    <w:t>污染源位置</w:t>
                  </w:r>
                </w:p>
              </w:tc>
              <w:tc>
                <w:tcPr>
                  <w:tcW w:w="2962" w:type="dxa"/>
                  <w:gridSpan w:val="2"/>
                  <w:vMerge w:val="restart"/>
                  <w:vAlign w:val="center"/>
                </w:tcPr>
                <w:p>
                  <w:pPr>
                    <w:pStyle w:val="20"/>
                  </w:pPr>
                  <w:r>
                    <w:t>污染物名称</w:t>
                  </w:r>
                </w:p>
              </w:tc>
              <w:tc>
                <w:tcPr>
                  <w:tcW w:w="3348" w:type="dxa"/>
                  <w:gridSpan w:val="2"/>
                  <w:vAlign w:val="center"/>
                </w:tcPr>
                <w:p>
                  <w:pPr>
                    <w:pStyle w:val="20"/>
                  </w:pPr>
                  <w: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63" w:type="dxa"/>
                  <w:vMerge w:val="continue"/>
                  <w:vAlign w:val="center"/>
                </w:tcPr>
                <w:p>
                  <w:pPr>
                    <w:pStyle w:val="20"/>
                  </w:pPr>
                </w:p>
              </w:tc>
              <w:tc>
                <w:tcPr>
                  <w:tcW w:w="2962" w:type="dxa"/>
                  <w:gridSpan w:val="2"/>
                  <w:vMerge w:val="continue"/>
                  <w:vAlign w:val="center"/>
                </w:tcPr>
                <w:p>
                  <w:pPr>
                    <w:pStyle w:val="20"/>
                  </w:pPr>
                </w:p>
              </w:tc>
              <w:tc>
                <w:tcPr>
                  <w:tcW w:w="1658" w:type="dxa"/>
                  <w:vAlign w:val="center"/>
                </w:tcPr>
                <w:p>
                  <w:pPr>
                    <w:pStyle w:val="20"/>
                  </w:pPr>
                  <w:r>
                    <w:t>kg/h</w:t>
                  </w:r>
                </w:p>
              </w:tc>
              <w:tc>
                <w:tcPr>
                  <w:tcW w:w="1690" w:type="dxa"/>
                  <w:vAlign w:val="center"/>
                </w:tcPr>
                <w:p>
                  <w:pPr>
                    <w:pStyle w:val="20"/>
                  </w:pPr>
                  <w: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63" w:type="dxa"/>
                  <w:vMerge w:val="restart"/>
                  <w:vAlign w:val="center"/>
                </w:tcPr>
                <w:p>
                  <w:pPr>
                    <w:pStyle w:val="20"/>
                    <w:rPr>
                      <w:rFonts w:hint="default" w:eastAsia="宋体"/>
                      <w:lang w:val="en-US" w:eastAsia="zh-CN"/>
                    </w:rPr>
                  </w:pPr>
                  <w:r>
                    <w:rPr>
                      <w:rFonts w:hint="eastAsia"/>
                      <w:lang w:val="en-US" w:eastAsia="zh-CN"/>
                    </w:rPr>
                    <w:t>M2模组厂房</w:t>
                  </w:r>
                </w:p>
              </w:tc>
              <w:tc>
                <w:tcPr>
                  <w:tcW w:w="1642" w:type="dxa"/>
                  <w:vAlign w:val="center"/>
                </w:tcPr>
                <w:p>
                  <w:pPr>
                    <w:pStyle w:val="20"/>
                    <w:rPr>
                      <w:rFonts w:hint="default" w:eastAsia="宋体"/>
                      <w:lang w:val="en-US" w:eastAsia="zh-CN"/>
                    </w:rPr>
                  </w:pPr>
                  <w:r>
                    <w:rPr>
                      <w:rFonts w:hint="eastAsia"/>
                      <w:lang w:val="en-US" w:eastAsia="zh-CN"/>
                    </w:rPr>
                    <w:t>涂胶废气</w:t>
                  </w:r>
                </w:p>
              </w:tc>
              <w:tc>
                <w:tcPr>
                  <w:tcW w:w="1320" w:type="dxa"/>
                  <w:vAlign w:val="center"/>
                </w:tcPr>
                <w:p>
                  <w:pPr>
                    <w:pStyle w:val="20"/>
                  </w:pPr>
                  <w:r>
                    <w:rPr>
                      <w:rFonts w:hint="eastAsia"/>
                    </w:rPr>
                    <w:t>非甲烷总烃</w:t>
                  </w:r>
                </w:p>
              </w:tc>
              <w:tc>
                <w:tcPr>
                  <w:tcW w:w="1658" w:type="dxa"/>
                  <w:vAlign w:val="center"/>
                </w:tcPr>
                <w:p>
                  <w:pPr>
                    <w:pStyle w:val="20"/>
                    <w:rPr>
                      <w:rFonts w:hint="default" w:eastAsia="宋体"/>
                      <w:lang w:val="en-US" w:eastAsia="zh-CN"/>
                    </w:rPr>
                  </w:pPr>
                  <w:r>
                    <w:rPr>
                      <w:rFonts w:hint="eastAsia"/>
                      <w:lang w:val="en-US" w:eastAsia="zh-CN"/>
                    </w:rPr>
                    <w:t>0.044</w:t>
                  </w:r>
                </w:p>
              </w:tc>
              <w:tc>
                <w:tcPr>
                  <w:tcW w:w="1690" w:type="dxa"/>
                  <w:vAlign w:val="center"/>
                </w:tcPr>
                <w:p>
                  <w:pPr>
                    <w:pStyle w:val="20"/>
                  </w:pPr>
                  <w:r>
                    <w:rPr>
                      <w:rFonts w:hint="eastAsia"/>
                    </w:rPr>
                    <w:t>0.348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63" w:type="dxa"/>
                  <w:vMerge w:val="continue"/>
                  <w:vAlign w:val="center"/>
                </w:tcPr>
                <w:p>
                  <w:pPr>
                    <w:pStyle w:val="20"/>
                    <w:rPr>
                      <w:rFonts w:hint="eastAsia"/>
                      <w:lang w:val="en-US" w:eastAsia="zh-CN"/>
                    </w:rPr>
                  </w:pPr>
                </w:p>
              </w:tc>
              <w:tc>
                <w:tcPr>
                  <w:tcW w:w="1642" w:type="dxa"/>
                  <w:vAlign w:val="center"/>
                </w:tcPr>
                <w:p>
                  <w:pPr>
                    <w:pStyle w:val="20"/>
                    <w:rPr>
                      <w:rFonts w:hint="default"/>
                      <w:lang w:val="en-US" w:eastAsia="zh-CN"/>
                    </w:rPr>
                  </w:pPr>
                  <w:r>
                    <w:rPr>
                      <w:rFonts w:hint="eastAsia"/>
                      <w:lang w:val="en-US" w:eastAsia="zh-CN"/>
                    </w:rPr>
                    <w:t>擦拭废气</w:t>
                  </w:r>
                </w:p>
              </w:tc>
              <w:tc>
                <w:tcPr>
                  <w:tcW w:w="1320" w:type="dxa"/>
                  <w:vAlign w:val="center"/>
                </w:tcPr>
                <w:p>
                  <w:pPr>
                    <w:pStyle w:val="20"/>
                    <w:rPr>
                      <w:rFonts w:hint="eastAsia" w:eastAsia="宋体"/>
                      <w:lang w:val="en-US" w:eastAsia="zh-CN"/>
                    </w:rPr>
                  </w:pPr>
                  <w:r>
                    <w:rPr>
                      <w:rFonts w:hint="eastAsia"/>
                      <w:lang w:val="en-US" w:eastAsia="zh-CN"/>
                    </w:rPr>
                    <w:t>乙醇（以非甲烷总烃计）</w:t>
                  </w:r>
                </w:p>
              </w:tc>
              <w:tc>
                <w:tcPr>
                  <w:tcW w:w="1658" w:type="dxa"/>
                  <w:vAlign w:val="center"/>
                </w:tcPr>
                <w:p>
                  <w:pPr>
                    <w:pStyle w:val="20"/>
                    <w:rPr>
                      <w:rFonts w:hint="default"/>
                      <w:lang w:val="en-US" w:eastAsia="zh-CN"/>
                    </w:rPr>
                  </w:pPr>
                  <w:r>
                    <w:rPr>
                      <w:rFonts w:hint="eastAsia"/>
                      <w:lang w:val="en-US" w:eastAsia="zh-CN"/>
                    </w:rPr>
                    <w:t>0.030</w:t>
                  </w:r>
                </w:p>
              </w:tc>
              <w:tc>
                <w:tcPr>
                  <w:tcW w:w="1690" w:type="dxa"/>
                  <w:vAlign w:val="center"/>
                </w:tcPr>
                <w:p>
                  <w:pPr>
                    <w:pStyle w:val="20"/>
                    <w:rPr>
                      <w:rFonts w:hint="default" w:eastAsia="宋体"/>
                      <w:lang w:val="en-US" w:eastAsia="zh-CN"/>
                    </w:rPr>
                  </w:pPr>
                  <w:r>
                    <w:rPr>
                      <w:rFonts w:hint="eastAsia"/>
                      <w:lang w:val="en-US" w:eastAsia="zh-CN"/>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63" w:type="dxa"/>
                  <w:vMerge w:val="continue"/>
                  <w:vAlign w:val="center"/>
                </w:tcPr>
                <w:p>
                  <w:pPr>
                    <w:pStyle w:val="20"/>
                    <w:rPr>
                      <w:rFonts w:hint="eastAsia"/>
                      <w:lang w:val="en-US" w:eastAsia="zh-CN"/>
                    </w:rPr>
                  </w:pPr>
                </w:p>
              </w:tc>
              <w:tc>
                <w:tcPr>
                  <w:tcW w:w="1642" w:type="dxa"/>
                  <w:vAlign w:val="center"/>
                </w:tcPr>
                <w:p>
                  <w:pPr>
                    <w:pStyle w:val="20"/>
                    <w:rPr>
                      <w:rFonts w:hint="default"/>
                      <w:lang w:val="en-US" w:eastAsia="zh-CN"/>
                    </w:rPr>
                  </w:pPr>
                  <w:r>
                    <w:rPr>
                      <w:rFonts w:hint="eastAsia"/>
                      <w:lang w:val="en-US" w:eastAsia="zh-CN"/>
                    </w:rPr>
                    <w:t>打胶废气</w:t>
                  </w:r>
                </w:p>
              </w:tc>
              <w:tc>
                <w:tcPr>
                  <w:tcW w:w="1320" w:type="dxa"/>
                  <w:vAlign w:val="center"/>
                </w:tcPr>
                <w:p>
                  <w:pPr>
                    <w:pStyle w:val="20"/>
                    <w:rPr>
                      <w:rFonts w:hint="default"/>
                      <w:lang w:val="en-US" w:eastAsia="zh-CN"/>
                    </w:rPr>
                  </w:pPr>
                  <w:r>
                    <w:rPr>
                      <w:rFonts w:hint="eastAsia"/>
                      <w:lang w:val="en-US" w:eastAsia="zh-CN"/>
                    </w:rPr>
                    <w:t>非甲烷总烃</w:t>
                  </w:r>
                </w:p>
              </w:tc>
              <w:tc>
                <w:tcPr>
                  <w:tcW w:w="1658" w:type="dxa"/>
                  <w:vAlign w:val="center"/>
                </w:tcPr>
                <w:p>
                  <w:pPr>
                    <w:pStyle w:val="20"/>
                    <w:rPr>
                      <w:rFonts w:hint="default"/>
                      <w:lang w:val="en-US" w:eastAsia="zh-CN"/>
                    </w:rPr>
                  </w:pPr>
                  <w:r>
                    <w:rPr>
                      <w:rFonts w:hint="eastAsia"/>
                      <w:lang w:val="en-US" w:eastAsia="zh-CN"/>
                    </w:rPr>
                    <w:t>0.024</w:t>
                  </w:r>
                </w:p>
              </w:tc>
              <w:tc>
                <w:tcPr>
                  <w:tcW w:w="1690" w:type="dxa"/>
                  <w:vAlign w:val="center"/>
                </w:tcPr>
                <w:p>
                  <w:pPr>
                    <w:pStyle w:val="20"/>
                    <w:rPr>
                      <w:rFonts w:hint="default"/>
                      <w:lang w:val="en-US" w:eastAsia="zh-CN"/>
                    </w:rPr>
                  </w:pPr>
                  <w:r>
                    <w:rPr>
                      <w:rFonts w:hint="eastAsia"/>
                      <w:lang w:val="en-US" w:eastAsia="zh-CN"/>
                    </w:rPr>
                    <w:t>0.188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63" w:type="dxa"/>
                  <w:vMerge w:val="continue"/>
                  <w:vAlign w:val="center"/>
                </w:tcPr>
                <w:p>
                  <w:pPr>
                    <w:pStyle w:val="20"/>
                    <w:rPr>
                      <w:rFonts w:hint="eastAsia"/>
                      <w:lang w:val="en-US" w:eastAsia="zh-CN"/>
                    </w:rPr>
                  </w:pPr>
                </w:p>
              </w:tc>
              <w:tc>
                <w:tcPr>
                  <w:tcW w:w="1642" w:type="dxa"/>
                  <w:vAlign w:val="center"/>
                </w:tcPr>
                <w:p>
                  <w:pPr>
                    <w:pStyle w:val="20"/>
                    <w:rPr>
                      <w:rFonts w:hint="default"/>
                      <w:lang w:val="en-US" w:eastAsia="zh-CN"/>
                    </w:rPr>
                  </w:pPr>
                  <w:r>
                    <w:rPr>
                      <w:rFonts w:hint="eastAsia"/>
                      <w:lang w:val="en-US" w:eastAsia="zh-CN"/>
                    </w:rPr>
                    <w:t>合计</w:t>
                  </w:r>
                </w:p>
              </w:tc>
              <w:tc>
                <w:tcPr>
                  <w:tcW w:w="1320" w:type="dxa"/>
                  <w:vAlign w:val="center"/>
                </w:tcPr>
                <w:p>
                  <w:pPr>
                    <w:pStyle w:val="20"/>
                    <w:rPr>
                      <w:rFonts w:hint="default"/>
                      <w:lang w:val="en-US" w:eastAsia="zh-CN"/>
                    </w:rPr>
                  </w:pPr>
                  <w:r>
                    <w:rPr>
                      <w:rFonts w:hint="eastAsia"/>
                      <w:lang w:val="en-US" w:eastAsia="zh-CN"/>
                    </w:rPr>
                    <w:t>非甲烷总烃</w:t>
                  </w:r>
                </w:p>
              </w:tc>
              <w:tc>
                <w:tcPr>
                  <w:tcW w:w="1658" w:type="dxa"/>
                  <w:vAlign w:val="center"/>
                </w:tcPr>
                <w:p>
                  <w:pPr>
                    <w:pStyle w:val="20"/>
                    <w:rPr>
                      <w:rFonts w:hint="default"/>
                      <w:lang w:val="en-US" w:eastAsia="zh-CN"/>
                    </w:rPr>
                  </w:pPr>
                  <w:r>
                    <w:rPr>
                      <w:rFonts w:hint="eastAsia"/>
                      <w:lang w:val="en-US" w:eastAsia="zh-CN"/>
                    </w:rPr>
                    <w:t>0.098</w:t>
                  </w:r>
                </w:p>
              </w:tc>
              <w:tc>
                <w:tcPr>
                  <w:tcW w:w="1690" w:type="dxa"/>
                  <w:vAlign w:val="center"/>
                </w:tcPr>
                <w:p>
                  <w:pPr>
                    <w:pStyle w:val="20"/>
                    <w:rPr>
                      <w:rFonts w:hint="default" w:eastAsia="宋体"/>
                      <w:lang w:val="en-US" w:eastAsia="zh-CN"/>
                    </w:rPr>
                  </w:pPr>
                  <w:r>
                    <w:rPr>
                      <w:rFonts w:hint="eastAsia"/>
                      <w:lang w:val="en-US" w:eastAsia="zh-CN"/>
                    </w:rPr>
                    <w:t>0.776</w:t>
                  </w:r>
                </w:p>
              </w:tc>
            </w:tr>
            <w:bookmarkEnd w:id="34"/>
            <w:bookmarkEnd w:id="35"/>
          </w:tbl>
          <w:p>
            <w:pPr>
              <w:pStyle w:val="6"/>
              <w:rPr>
                <w:b/>
                <w:bCs/>
              </w:rPr>
            </w:pPr>
            <w:r>
              <w:rPr>
                <w:rFonts w:hint="eastAsia"/>
                <w:b/>
                <w:bCs/>
                <w:lang w:val="en-US" w:eastAsia="zh-CN"/>
              </w:rPr>
              <w:t>4.2.2</w:t>
            </w:r>
            <w:r>
              <w:rPr>
                <w:b/>
                <w:bCs/>
              </w:rPr>
              <w:t>非正常工况废气排放源强</w:t>
            </w:r>
          </w:p>
          <w:p>
            <w:pPr>
              <w:ind w:firstLine="420"/>
              <w:rPr>
                <w:rFonts w:hint="eastAsia"/>
                <w:lang w:val="en-US" w:eastAsia="zh-CN"/>
              </w:rPr>
            </w:pPr>
            <w:r>
              <w:rPr>
                <w:rFonts w:hint="eastAsia"/>
                <w:lang w:val="en-US" w:eastAsia="zh-CN"/>
              </w:rPr>
              <w:t>非正常排放情况下，考虑废气处理设备出现故障，则废气处理效率为0，废气未经处置直接通过排气筒排放，则非正常工况下本项目涉及的排气筒有组织排放废气参数见下表。</w:t>
            </w:r>
          </w:p>
          <w:p>
            <w:pPr>
              <w:bidi w:val="0"/>
              <w:ind w:left="0" w:leftChars="0" w:firstLine="0" w:firstLineChars="0"/>
              <w:jc w:val="center"/>
              <w:rPr>
                <w:rFonts w:hint="eastAsia"/>
                <w:b/>
                <w:bCs/>
              </w:rPr>
            </w:pPr>
            <w:r>
              <w:rPr>
                <w:b/>
                <w:bCs/>
              </w:rPr>
              <w:t>表4.2-</w:t>
            </w:r>
            <w:r>
              <w:rPr>
                <w:rFonts w:hint="eastAsia"/>
                <w:b/>
                <w:bCs/>
                <w:lang w:val="en-US" w:eastAsia="zh-CN"/>
              </w:rPr>
              <w:t>2</w:t>
            </w:r>
            <w:r>
              <w:rPr>
                <w:b/>
                <w:bCs/>
              </w:rPr>
              <w:t xml:space="preserve">  </w:t>
            </w:r>
            <w:r>
              <w:rPr>
                <w:rFonts w:hint="eastAsia"/>
                <w:b/>
                <w:bCs/>
              </w:rPr>
              <w:t>有组织排放废气参数源强（非正常工况）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684"/>
              <w:gridCol w:w="1512"/>
              <w:gridCol w:w="792"/>
              <w:gridCol w:w="1217"/>
              <w:gridCol w:w="1160"/>
              <w:gridCol w:w="858"/>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排气筒编号</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污染源</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非正常排放原因</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污染物</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非正常排放浓度mg/m</w:t>
                  </w:r>
                  <w:r>
                    <w:rPr>
                      <w:rFonts w:hint="eastAsia"/>
                      <w:sz w:val="18"/>
                      <w:szCs w:val="18"/>
                      <w:vertAlign w:val="superscript"/>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非正常排放速率(kg/h)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单次持续时间(h)</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DA007</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污水站废气</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风机正常运行，废气处理设施故障</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非甲烷总烃</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14.75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0.08</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1</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停止工序生产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氨、硫</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r>
                    <w:rPr>
                      <w:rFonts w:hint="eastAsia"/>
                      <w:sz w:val="18"/>
                      <w:szCs w:val="18"/>
                      <w:vertAlign w:val="baseline"/>
                    </w:rPr>
                    <w:t>化氢等</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vertAlign w:val="baseline"/>
                      <w:lang w:val="en-US" w:eastAsia="zh-CN"/>
                    </w:rPr>
                  </w:pPr>
                  <w:r>
                    <w:rPr>
                      <w:rFonts w:hint="eastAsia"/>
                      <w:sz w:val="18"/>
                      <w:szCs w:val="18"/>
                      <w:vertAlign w:val="baseline"/>
                      <w:lang w:val="en-US" w:eastAsia="zh-CN"/>
                    </w:rPr>
                    <w:t>/</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rPr>
                  </w:pPr>
                </w:p>
              </w:tc>
            </w:tr>
          </w:tbl>
          <w:p>
            <w:pPr>
              <w:bidi w:val="0"/>
              <w:rPr>
                <w:rFonts w:hint="default" w:eastAsia="宋体"/>
                <w:b/>
                <w:bCs/>
                <w:sz w:val="18"/>
                <w:szCs w:val="18"/>
                <w:lang w:val="en-US" w:eastAsia="zh-CN"/>
              </w:rPr>
            </w:pPr>
            <w:r>
              <w:rPr>
                <w:rFonts w:hint="eastAsia"/>
                <w:b/>
                <w:bCs/>
                <w:sz w:val="18"/>
                <w:szCs w:val="18"/>
                <w:lang w:val="en-US" w:eastAsia="zh-CN"/>
              </w:rPr>
              <w:t>注：由于本项目仅排放生活污水，水量较少，因此污水站废气按现有项目计。</w:t>
            </w:r>
          </w:p>
          <w:p>
            <w:pPr>
              <w:pStyle w:val="6"/>
            </w:pPr>
            <w:r>
              <w:t>4.2.</w:t>
            </w:r>
            <w:r>
              <w:rPr>
                <w:rFonts w:hint="eastAsia"/>
                <w:lang w:val="en-US" w:eastAsia="zh-CN"/>
              </w:rPr>
              <w:t>3</w:t>
            </w:r>
            <w:r>
              <w:t>排气口基本情况及达标排放情况</w:t>
            </w:r>
          </w:p>
          <w:p>
            <w:pPr>
              <w:bidi w:val="0"/>
              <w:rPr>
                <w:rFonts w:hint="eastAsia"/>
                <w:lang w:val="en-US" w:eastAsia="zh-CN"/>
              </w:rPr>
            </w:pPr>
            <w:r>
              <w:rPr>
                <w:rFonts w:hint="eastAsia"/>
                <w:lang w:val="en-US" w:eastAsia="zh-CN"/>
              </w:rPr>
              <w:t>根据企业提供的资料，本项目涉及的排气口情况可见下表。</w:t>
            </w:r>
          </w:p>
          <w:p>
            <w:pPr>
              <w:bidi w:val="0"/>
              <w:ind w:left="0" w:leftChars="0" w:firstLine="0" w:firstLineChars="0"/>
              <w:jc w:val="center"/>
              <w:rPr>
                <w:b/>
                <w:bCs/>
              </w:rPr>
            </w:pPr>
          </w:p>
          <w:p>
            <w:pPr>
              <w:bidi w:val="0"/>
              <w:ind w:left="0" w:leftChars="0" w:firstLine="0" w:firstLineChars="0"/>
              <w:jc w:val="center"/>
              <w:rPr>
                <w:b/>
                <w:bCs/>
              </w:rPr>
            </w:pPr>
          </w:p>
          <w:p>
            <w:pPr>
              <w:bidi w:val="0"/>
              <w:ind w:left="0" w:leftChars="0" w:firstLine="0" w:firstLineChars="0"/>
              <w:jc w:val="center"/>
              <w:rPr>
                <w:b/>
                <w:bCs/>
              </w:rPr>
            </w:pPr>
          </w:p>
          <w:p>
            <w:pPr>
              <w:bidi w:val="0"/>
              <w:ind w:left="0" w:leftChars="0" w:firstLine="0" w:firstLineChars="0"/>
              <w:jc w:val="center"/>
              <w:rPr>
                <w:rFonts w:hint="eastAsia"/>
                <w:b/>
                <w:bCs/>
              </w:rPr>
            </w:pPr>
            <w:r>
              <w:rPr>
                <w:b/>
                <w:bCs/>
              </w:rPr>
              <w:t>表4.2-</w:t>
            </w:r>
            <w:r>
              <w:rPr>
                <w:rFonts w:hint="eastAsia"/>
                <w:b/>
                <w:bCs/>
                <w:lang w:val="en-US" w:eastAsia="zh-CN"/>
              </w:rPr>
              <w:t>3</w:t>
            </w:r>
            <w:r>
              <w:rPr>
                <w:b/>
                <w:bCs/>
              </w:rPr>
              <w:t xml:space="preserve">  </w:t>
            </w:r>
            <w:r>
              <w:rPr>
                <w:rFonts w:hint="eastAsia"/>
                <w:b/>
                <w:bCs/>
              </w:rPr>
              <w:t>企业排气口基本情况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0"/>
              <w:gridCol w:w="429"/>
              <w:gridCol w:w="756"/>
              <w:gridCol w:w="1438"/>
              <w:gridCol w:w="1348"/>
              <w:gridCol w:w="726"/>
              <w:gridCol w:w="740"/>
              <w:gridCol w:w="846"/>
              <w:gridCol w:w="775"/>
              <w:gridCol w:w="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序号</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名称</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排气口编号</w:t>
                  </w:r>
                </w:p>
              </w:tc>
              <w:tc>
                <w:tcPr>
                  <w:tcW w:w="0" w:type="auto"/>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地理坐标</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高度（m）</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排气筒内径（m）</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流速（m/s）</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出口温度（</w:t>
                  </w:r>
                  <w:r>
                    <w:rPr>
                      <w:rFonts w:hint="eastAsia"/>
                      <w:sz w:val="18"/>
                      <w:szCs w:val="18"/>
                      <w:vertAlign w:val="baseline"/>
                      <w:lang w:val="en-US" w:eastAsia="zh-CN"/>
                    </w:rPr>
                    <w:t>℃</w:t>
                  </w:r>
                  <w:r>
                    <w:rPr>
                      <w:rFonts w:hint="default"/>
                      <w:sz w:val="18"/>
                      <w:szCs w:val="18"/>
                      <w:vertAlign w:val="baseline"/>
                      <w:lang w:val="en-US" w:eastAsia="zh-CN"/>
                    </w:rPr>
                    <w:t>）</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经度</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维度</w:t>
                  </w: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污水站废气排放口</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DA007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120°45'35.3094"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30°19'27.2621"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0.5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7.077</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油烟废气排放</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口</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DA010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120°45′26.9502″</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default"/>
                      <w:sz w:val="18"/>
                      <w:szCs w:val="18"/>
                      <w:vertAlign w:val="baseline"/>
                      <w:lang w:val="en-US" w:eastAsia="zh-CN"/>
                    </w:rPr>
                    <w:t>30°19′26.8945″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14.154</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50</w:t>
                  </w:r>
                </w:p>
              </w:tc>
              <w:tc>
                <w:tcPr>
                  <w:tcW w:w="0" w:type="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vertAlign w:val="baseline"/>
                      <w:lang w:val="en-US" w:eastAsia="zh-CN"/>
                    </w:rPr>
                  </w:pPr>
                  <w:r>
                    <w:rPr>
                      <w:rFonts w:hint="eastAsia"/>
                      <w:sz w:val="18"/>
                      <w:szCs w:val="18"/>
                      <w:vertAlign w:val="baseline"/>
                      <w:lang w:val="en-US" w:eastAsia="zh-CN"/>
                    </w:rPr>
                    <w:t>一般排放口</w:t>
                  </w:r>
                </w:p>
              </w:tc>
            </w:tr>
          </w:tbl>
          <w:p>
            <w:pPr>
              <w:pStyle w:val="6"/>
              <w:rPr>
                <w:b/>
                <w:bCs/>
              </w:rPr>
            </w:pPr>
            <w:r>
              <w:rPr>
                <w:rFonts w:hint="eastAsia"/>
                <w:b/>
                <w:bCs/>
                <w:lang w:val="en-US" w:eastAsia="zh-CN"/>
              </w:rPr>
              <w:t>4.2.4</w:t>
            </w:r>
            <w:r>
              <w:rPr>
                <w:b/>
                <w:bCs/>
              </w:rPr>
              <w:t>排气筒达标排放符合性分析</w:t>
            </w:r>
          </w:p>
          <w:p>
            <w:pPr>
              <w:ind w:firstLine="420"/>
              <w:rPr>
                <w:rFonts w:hint="default" w:eastAsia="宋体"/>
                <w:lang w:val="en-US" w:eastAsia="zh-CN"/>
              </w:rPr>
            </w:pPr>
            <w:r>
              <w:rPr>
                <w:rFonts w:hint="eastAsia"/>
              </w:rPr>
              <w:t>本项目</w:t>
            </w:r>
            <w:r>
              <w:rPr>
                <w:rFonts w:hint="eastAsia"/>
                <w:lang w:val="en-US" w:eastAsia="zh-CN"/>
              </w:rPr>
              <w:t>依托现有项目食堂和污水站，污水站废气和油烟废气排放情况如下：</w:t>
            </w:r>
          </w:p>
          <w:p>
            <w:pPr>
              <w:ind w:firstLine="0" w:firstLineChars="0"/>
              <w:jc w:val="center"/>
              <w:rPr>
                <w:b/>
                <w:bCs/>
              </w:rPr>
            </w:pPr>
            <w:r>
              <w:rPr>
                <w:b/>
                <w:bCs/>
              </w:rPr>
              <w:t>表</w:t>
            </w:r>
            <w:r>
              <w:rPr>
                <w:rFonts w:hint="eastAsia"/>
                <w:b/>
                <w:bCs/>
              </w:rPr>
              <w:t>4.2-</w:t>
            </w:r>
            <w:r>
              <w:rPr>
                <w:rFonts w:hint="eastAsia"/>
                <w:b/>
                <w:bCs/>
                <w:lang w:val="en-US" w:eastAsia="zh-CN"/>
              </w:rPr>
              <w:t xml:space="preserve">4 </w:t>
            </w:r>
            <w:r>
              <w:rPr>
                <w:b/>
                <w:bCs/>
              </w:rPr>
              <w:t xml:space="preserve"> </w:t>
            </w:r>
            <w:r>
              <w:rPr>
                <w:rFonts w:hint="eastAsia"/>
                <w:b/>
                <w:bCs/>
              </w:rPr>
              <w:t>企业有组织</w:t>
            </w:r>
            <w:r>
              <w:rPr>
                <w:b/>
                <w:bCs/>
              </w:rPr>
              <w:t>废气</w:t>
            </w:r>
            <w:r>
              <w:rPr>
                <w:rFonts w:hint="eastAsia"/>
                <w:b/>
                <w:bCs/>
              </w:rPr>
              <w:t>达标</w:t>
            </w:r>
            <w:r>
              <w:rPr>
                <w:b/>
                <w:bCs/>
              </w:rPr>
              <w:t>排放情况</w:t>
            </w:r>
          </w:p>
          <w:tbl>
            <w:tblPr>
              <w:tblStyle w:val="15"/>
              <w:tblW w:w="7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9"/>
              <w:gridCol w:w="992"/>
              <w:gridCol w:w="1089"/>
              <w:gridCol w:w="1249"/>
              <w:gridCol w:w="1147"/>
              <w:gridCol w:w="1168"/>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 w:hRule="atLeast"/>
                <w:tblHeader/>
                <w:jc w:val="center"/>
              </w:trPr>
              <w:tc>
                <w:tcPr>
                  <w:tcW w:w="709" w:type="dxa"/>
                  <w:vMerge w:val="restart"/>
                  <w:vAlign w:val="center"/>
                </w:tcPr>
                <w:p>
                  <w:pPr>
                    <w:pStyle w:val="20"/>
                  </w:pPr>
                  <w:bookmarkStart w:id="36" w:name="_Hlk59303051"/>
                  <w:r>
                    <w:rPr>
                      <w:rFonts w:hint="eastAsia"/>
                    </w:rPr>
                    <w:t>排气筒编号</w:t>
                  </w:r>
                </w:p>
              </w:tc>
              <w:tc>
                <w:tcPr>
                  <w:tcW w:w="992" w:type="dxa"/>
                  <w:vMerge w:val="restart"/>
                  <w:vAlign w:val="center"/>
                </w:tcPr>
                <w:p>
                  <w:pPr>
                    <w:pStyle w:val="20"/>
                  </w:pPr>
                  <w:r>
                    <w:t>污染源</w:t>
                  </w:r>
                </w:p>
              </w:tc>
              <w:tc>
                <w:tcPr>
                  <w:tcW w:w="1089" w:type="dxa"/>
                  <w:vMerge w:val="restart"/>
                  <w:vAlign w:val="center"/>
                </w:tcPr>
                <w:p>
                  <w:pPr>
                    <w:pStyle w:val="20"/>
                  </w:pPr>
                  <w:r>
                    <w:t>污染物</w:t>
                  </w:r>
                </w:p>
                <w:p>
                  <w:pPr>
                    <w:pStyle w:val="20"/>
                  </w:pPr>
                  <w:r>
                    <w:t>名称</w:t>
                  </w:r>
                </w:p>
              </w:tc>
              <w:tc>
                <w:tcPr>
                  <w:tcW w:w="2396" w:type="dxa"/>
                  <w:gridSpan w:val="2"/>
                  <w:vAlign w:val="center"/>
                </w:tcPr>
                <w:p>
                  <w:pPr>
                    <w:pStyle w:val="20"/>
                  </w:pPr>
                  <w:r>
                    <w:t>有组织排放</w:t>
                  </w:r>
                </w:p>
              </w:tc>
              <w:tc>
                <w:tcPr>
                  <w:tcW w:w="2345" w:type="dxa"/>
                  <w:gridSpan w:val="2"/>
                  <w:vAlign w:val="center"/>
                </w:tcPr>
                <w:p>
                  <w:pPr>
                    <w:pStyle w:val="20"/>
                  </w:pPr>
                  <w:r>
                    <w:t>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 w:hRule="atLeast"/>
                <w:tblHeader/>
                <w:jc w:val="center"/>
              </w:trPr>
              <w:tc>
                <w:tcPr>
                  <w:tcW w:w="709" w:type="dxa"/>
                  <w:vMerge w:val="continue"/>
                  <w:vAlign w:val="center"/>
                </w:tcPr>
                <w:p>
                  <w:pPr>
                    <w:pStyle w:val="20"/>
                  </w:pPr>
                </w:p>
              </w:tc>
              <w:tc>
                <w:tcPr>
                  <w:tcW w:w="992" w:type="dxa"/>
                  <w:vMerge w:val="continue"/>
                  <w:vAlign w:val="center"/>
                </w:tcPr>
                <w:p>
                  <w:pPr>
                    <w:pStyle w:val="20"/>
                  </w:pPr>
                </w:p>
              </w:tc>
              <w:tc>
                <w:tcPr>
                  <w:tcW w:w="1089" w:type="dxa"/>
                  <w:vMerge w:val="continue"/>
                  <w:vAlign w:val="center"/>
                </w:tcPr>
                <w:p>
                  <w:pPr>
                    <w:pStyle w:val="20"/>
                  </w:pPr>
                </w:p>
              </w:tc>
              <w:tc>
                <w:tcPr>
                  <w:tcW w:w="1249" w:type="dxa"/>
                  <w:vAlign w:val="center"/>
                </w:tcPr>
                <w:p>
                  <w:pPr>
                    <w:pStyle w:val="20"/>
                  </w:pPr>
                  <w:r>
                    <w:t>排放浓度（mg/m</w:t>
                  </w:r>
                  <w:r>
                    <w:rPr>
                      <w:vertAlign w:val="superscript"/>
                    </w:rPr>
                    <w:t>3</w:t>
                  </w:r>
                  <w:r>
                    <w:t>）</w:t>
                  </w:r>
                </w:p>
              </w:tc>
              <w:tc>
                <w:tcPr>
                  <w:tcW w:w="1147" w:type="dxa"/>
                  <w:vAlign w:val="center"/>
                </w:tcPr>
                <w:p>
                  <w:pPr>
                    <w:pStyle w:val="20"/>
                  </w:pPr>
                  <w:r>
                    <w:t>排放速率（kg/h）</w:t>
                  </w:r>
                </w:p>
              </w:tc>
              <w:tc>
                <w:tcPr>
                  <w:tcW w:w="1168" w:type="dxa"/>
                  <w:vAlign w:val="center"/>
                </w:tcPr>
                <w:p>
                  <w:pPr>
                    <w:pStyle w:val="20"/>
                  </w:pPr>
                  <w:r>
                    <w:t>排放浓度（mg/m</w:t>
                  </w:r>
                  <w:r>
                    <w:rPr>
                      <w:vertAlign w:val="superscript"/>
                    </w:rPr>
                    <w:t>3</w:t>
                  </w:r>
                  <w:r>
                    <w:t>）</w:t>
                  </w:r>
                </w:p>
              </w:tc>
              <w:tc>
                <w:tcPr>
                  <w:tcW w:w="1177" w:type="dxa"/>
                  <w:vAlign w:val="center"/>
                </w:tcPr>
                <w:p>
                  <w:pPr>
                    <w:pStyle w:val="20"/>
                  </w:pPr>
                  <w: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tblHeader/>
                <w:jc w:val="center"/>
              </w:trPr>
              <w:tc>
                <w:tcPr>
                  <w:tcW w:w="709" w:type="dxa"/>
                  <w:vAlign w:val="center"/>
                </w:tcPr>
                <w:p>
                  <w:pPr>
                    <w:pStyle w:val="20"/>
                    <w:rPr>
                      <w:rFonts w:hint="default" w:eastAsia="宋体"/>
                      <w:lang w:val="en-US" w:eastAsia="zh-CN"/>
                    </w:rPr>
                  </w:pPr>
                  <w:r>
                    <w:t>DA0</w:t>
                  </w:r>
                  <w:r>
                    <w:rPr>
                      <w:rFonts w:hint="eastAsia"/>
                      <w:lang w:val="en-US" w:eastAsia="zh-CN"/>
                    </w:rPr>
                    <w:t>10</w:t>
                  </w:r>
                </w:p>
              </w:tc>
              <w:tc>
                <w:tcPr>
                  <w:tcW w:w="992" w:type="dxa"/>
                  <w:vAlign w:val="center"/>
                </w:tcPr>
                <w:p>
                  <w:pPr>
                    <w:pStyle w:val="20"/>
                    <w:rPr>
                      <w:rFonts w:hint="eastAsia" w:eastAsia="宋体"/>
                      <w:lang w:eastAsia="zh-CN"/>
                    </w:rPr>
                  </w:pPr>
                  <w:r>
                    <w:rPr>
                      <w:rFonts w:hint="eastAsia"/>
                      <w:lang w:val="en-US" w:eastAsia="zh-CN"/>
                    </w:rPr>
                    <w:t>食堂</w:t>
                  </w:r>
                </w:p>
              </w:tc>
              <w:tc>
                <w:tcPr>
                  <w:tcW w:w="1089" w:type="dxa"/>
                  <w:vAlign w:val="center"/>
                </w:tcPr>
                <w:p>
                  <w:pPr>
                    <w:pStyle w:val="20"/>
                    <w:rPr>
                      <w:rFonts w:hint="default" w:eastAsia="宋体"/>
                      <w:lang w:val="en-US" w:eastAsia="zh-CN"/>
                    </w:rPr>
                  </w:pPr>
                  <w:r>
                    <w:rPr>
                      <w:rFonts w:hint="eastAsia"/>
                      <w:lang w:val="en-US" w:eastAsia="zh-CN"/>
                    </w:rPr>
                    <w:t>油烟</w:t>
                  </w:r>
                </w:p>
              </w:tc>
              <w:tc>
                <w:tcPr>
                  <w:tcW w:w="1249" w:type="dxa"/>
                  <w:vAlign w:val="center"/>
                </w:tcPr>
                <w:p>
                  <w:pPr>
                    <w:pStyle w:val="20"/>
                    <w:ind w:firstLine="0" w:firstLineChars="0"/>
                    <w:rPr>
                      <w:rFonts w:hint="default" w:ascii="Times New Roman" w:hAnsi="Times New Roman" w:eastAsia="宋体" w:cs="Times New Roman"/>
                      <w:color w:val="000000"/>
                      <w:kern w:val="2"/>
                      <w:sz w:val="18"/>
                      <w:szCs w:val="18"/>
                      <w:lang w:val="en-US" w:eastAsia="zh-CN" w:bidi="ar-SA"/>
                    </w:rPr>
                  </w:pPr>
                  <w:r>
                    <w:rPr>
                      <w:rFonts w:hint="eastAsia"/>
                      <w:szCs w:val="18"/>
                      <w:lang w:val="en-US" w:eastAsia="zh-CN"/>
                    </w:rPr>
                    <w:t>1.995</w:t>
                  </w:r>
                </w:p>
              </w:tc>
              <w:tc>
                <w:tcPr>
                  <w:tcW w:w="1147" w:type="dxa"/>
                  <w:vAlign w:val="center"/>
                </w:tcPr>
                <w:p>
                  <w:pPr>
                    <w:pStyle w:val="20"/>
                    <w:ind w:firstLine="0" w:firstLineChars="0"/>
                    <w:rPr>
                      <w:rFonts w:hint="default" w:ascii="Times New Roman" w:hAnsi="Times New Roman" w:eastAsia="宋体" w:cs="Times New Roman"/>
                      <w:color w:val="000000"/>
                      <w:kern w:val="2"/>
                      <w:sz w:val="18"/>
                      <w:szCs w:val="18"/>
                      <w:lang w:val="en-US" w:eastAsia="zh-CN" w:bidi="ar-SA"/>
                    </w:rPr>
                  </w:pPr>
                  <w:r>
                    <w:rPr>
                      <w:rFonts w:hint="eastAsia"/>
                      <w:szCs w:val="18"/>
                      <w:lang w:val="en-US" w:eastAsia="zh-CN"/>
                    </w:rPr>
                    <w:t>/</w:t>
                  </w:r>
                </w:p>
              </w:tc>
              <w:tc>
                <w:tcPr>
                  <w:tcW w:w="1168" w:type="dxa"/>
                  <w:vAlign w:val="center"/>
                </w:tcPr>
                <w:p>
                  <w:pPr>
                    <w:pStyle w:val="20"/>
                    <w:rPr>
                      <w:rFonts w:hint="eastAsia" w:eastAsia="宋体"/>
                      <w:lang w:eastAsia="zh-CN"/>
                    </w:rPr>
                  </w:pPr>
                  <w:r>
                    <w:rPr>
                      <w:rFonts w:hint="eastAsia"/>
                      <w:lang w:val="en-US" w:eastAsia="zh-CN"/>
                    </w:rPr>
                    <w:t>2</w:t>
                  </w:r>
                </w:p>
              </w:tc>
              <w:tc>
                <w:tcPr>
                  <w:tcW w:w="1177" w:type="dxa"/>
                  <w:vAlign w:val="center"/>
                </w:tcPr>
                <w:p>
                  <w:pPr>
                    <w:pStyle w:val="2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tblHeader/>
                <w:jc w:val="center"/>
              </w:trPr>
              <w:tc>
                <w:tcPr>
                  <w:tcW w:w="709" w:type="dxa"/>
                  <w:vMerge w:val="restart"/>
                  <w:vAlign w:val="center"/>
                </w:tcPr>
                <w:p>
                  <w:pPr>
                    <w:pStyle w:val="20"/>
                    <w:rPr>
                      <w:rFonts w:hint="default" w:eastAsia="宋体"/>
                      <w:lang w:val="en-US" w:eastAsia="zh-CN"/>
                    </w:rPr>
                  </w:pPr>
                  <w:r>
                    <w:rPr>
                      <w:rFonts w:hint="eastAsia"/>
                      <w:lang w:val="en-US" w:eastAsia="zh-CN"/>
                    </w:rPr>
                    <w:t>DA007</w:t>
                  </w:r>
                </w:p>
              </w:tc>
              <w:tc>
                <w:tcPr>
                  <w:tcW w:w="992" w:type="dxa"/>
                  <w:vMerge w:val="restart"/>
                  <w:vAlign w:val="center"/>
                </w:tcPr>
                <w:p>
                  <w:pPr>
                    <w:pStyle w:val="20"/>
                    <w:rPr>
                      <w:rFonts w:hint="default"/>
                      <w:lang w:val="en-US" w:eastAsia="zh-CN"/>
                    </w:rPr>
                  </w:pPr>
                  <w:r>
                    <w:rPr>
                      <w:rFonts w:hint="eastAsia"/>
                      <w:lang w:val="en-US" w:eastAsia="zh-CN"/>
                    </w:rPr>
                    <w:t>污水站</w:t>
                  </w:r>
                </w:p>
              </w:tc>
              <w:tc>
                <w:tcPr>
                  <w:tcW w:w="1089" w:type="dxa"/>
                  <w:vAlign w:val="center"/>
                </w:tcPr>
                <w:p>
                  <w:pPr>
                    <w:pStyle w:val="20"/>
                    <w:rPr>
                      <w:rFonts w:hint="default"/>
                      <w:lang w:val="en-US" w:eastAsia="zh-CN"/>
                    </w:rPr>
                  </w:pPr>
                  <w:r>
                    <w:rPr>
                      <w:rFonts w:hint="eastAsia"/>
                      <w:lang w:val="en-US" w:eastAsia="zh-CN"/>
                    </w:rPr>
                    <w:t>非甲烷总烃</w:t>
                  </w:r>
                </w:p>
              </w:tc>
              <w:tc>
                <w:tcPr>
                  <w:tcW w:w="1249" w:type="dxa"/>
                  <w:vAlign w:val="center"/>
                </w:tcPr>
                <w:p>
                  <w:pPr>
                    <w:pStyle w:val="20"/>
                    <w:ind w:firstLine="0" w:firstLineChars="0"/>
                    <w:rPr>
                      <w:rFonts w:hint="default"/>
                      <w:szCs w:val="18"/>
                      <w:lang w:val="en-US" w:eastAsia="zh-CN"/>
                    </w:rPr>
                  </w:pPr>
                  <w:r>
                    <w:rPr>
                      <w:rFonts w:hint="eastAsia"/>
                      <w:szCs w:val="18"/>
                      <w:lang w:val="en-US" w:eastAsia="zh-CN"/>
                    </w:rPr>
                    <w:t>5.902</w:t>
                  </w:r>
                </w:p>
              </w:tc>
              <w:tc>
                <w:tcPr>
                  <w:tcW w:w="1147" w:type="dxa"/>
                  <w:vAlign w:val="center"/>
                </w:tcPr>
                <w:p>
                  <w:pPr>
                    <w:pStyle w:val="20"/>
                    <w:ind w:firstLine="0" w:firstLineChars="0"/>
                    <w:rPr>
                      <w:rFonts w:hint="default"/>
                      <w:szCs w:val="18"/>
                      <w:lang w:val="en-US" w:eastAsia="zh-CN"/>
                    </w:rPr>
                  </w:pPr>
                  <w:r>
                    <w:rPr>
                      <w:rFonts w:hint="eastAsia"/>
                      <w:szCs w:val="18"/>
                      <w:lang w:val="en-US" w:eastAsia="zh-CN"/>
                    </w:rPr>
                    <w:t>/</w:t>
                  </w:r>
                </w:p>
              </w:tc>
              <w:tc>
                <w:tcPr>
                  <w:tcW w:w="1168" w:type="dxa"/>
                  <w:vAlign w:val="center"/>
                </w:tcPr>
                <w:p>
                  <w:pPr>
                    <w:pStyle w:val="20"/>
                    <w:rPr>
                      <w:rFonts w:hint="default"/>
                      <w:lang w:val="en-US" w:eastAsia="zh-CN"/>
                    </w:rPr>
                  </w:pPr>
                  <w:r>
                    <w:rPr>
                      <w:rFonts w:hint="eastAsia"/>
                      <w:lang w:val="en-US" w:eastAsia="zh-CN"/>
                    </w:rPr>
                    <w:t>50</w:t>
                  </w:r>
                </w:p>
              </w:tc>
              <w:tc>
                <w:tcPr>
                  <w:tcW w:w="1177" w:type="dxa"/>
                  <w:vAlign w:val="center"/>
                </w:tcPr>
                <w:p>
                  <w:pPr>
                    <w:pStyle w:val="20"/>
                    <w:rPr>
                      <w:rFonts w:hint="eastAsia" w:eastAsia="宋体"/>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tblHeader/>
                <w:jc w:val="center"/>
              </w:trPr>
              <w:tc>
                <w:tcPr>
                  <w:tcW w:w="709" w:type="dxa"/>
                  <w:vMerge w:val="continue"/>
                  <w:vAlign w:val="center"/>
                </w:tcPr>
                <w:p>
                  <w:pPr>
                    <w:pStyle w:val="20"/>
                    <w:rPr>
                      <w:rFonts w:hint="eastAsia"/>
                      <w:lang w:val="en-US" w:eastAsia="zh-CN"/>
                    </w:rPr>
                  </w:pPr>
                </w:p>
              </w:tc>
              <w:tc>
                <w:tcPr>
                  <w:tcW w:w="992" w:type="dxa"/>
                  <w:vMerge w:val="continue"/>
                  <w:vAlign w:val="center"/>
                </w:tcPr>
                <w:p>
                  <w:pPr>
                    <w:pStyle w:val="20"/>
                    <w:rPr>
                      <w:rFonts w:hint="eastAsia"/>
                      <w:lang w:val="en-US" w:eastAsia="zh-CN"/>
                    </w:rPr>
                  </w:pPr>
                </w:p>
              </w:tc>
              <w:tc>
                <w:tcPr>
                  <w:tcW w:w="1089" w:type="dxa"/>
                  <w:vAlign w:val="center"/>
                </w:tcPr>
                <w:p>
                  <w:pPr>
                    <w:pStyle w:val="20"/>
                    <w:rPr>
                      <w:rFonts w:hint="default"/>
                      <w:lang w:val="en-US" w:eastAsia="zh-CN"/>
                    </w:rPr>
                  </w:pPr>
                  <w:r>
                    <w:rPr>
                      <w:rFonts w:hint="eastAsia"/>
                      <w:lang w:val="en-US" w:eastAsia="zh-CN"/>
                    </w:rPr>
                    <w:t>硫化氢</w:t>
                  </w:r>
                </w:p>
              </w:tc>
              <w:tc>
                <w:tcPr>
                  <w:tcW w:w="1249" w:type="dxa"/>
                  <w:vAlign w:val="center"/>
                </w:tcPr>
                <w:p>
                  <w:pPr>
                    <w:pStyle w:val="20"/>
                    <w:ind w:firstLine="0" w:firstLineChars="0"/>
                    <w:rPr>
                      <w:rFonts w:hint="default"/>
                      <w:szCs w:val="18"/>
                      <w:lang w:val="en-US" w:eastAsia="zh-CN"/>
                    </w:rPr>
                  </w:pPr>
                  <w:r>
                    <w:rPr>
                      <w:rFonts w:hint="eastAsia"/>
                      <w:szCs w:val="18"/>
                      <w:lang w:val="en-US" w:eastAsia="zh-CN"/>
                    </w:rPr>
                    <w:t>/</w:t>
                  </w:r>
                </w:p>
              </w:tc>
              <w:tc>
                <w:tcPr>
                  <w:tcW w:w="1147" w:type="dxa"/>
                  <w:vAlign w:val="center"/>
                </w:tcPr>
                <w:p>
                  <w:pPr>
                    <w:pStyle w:val="20"/>
                    <w:ind w:firstLine="0" w:firstLineChars="0"/>
                    <w:rPr>
                      <w:rFonts w:hint="default"/>
                      <w:szCs w:val="18"/>
                      <w:lang w:val="en-US" w:eastAsia="zh-CN"/>
                    </w:rPr>
                  </w:pPr>
                  <w:r>
                    <w:rPr>
                      <w:rFonts w:hint="eastAsia"/>
                      <w:szCs w:val="18"/>
                      <w:lang w:val="en-US" w:eastAsia="zh-CN"/>
                    </w:rPr>
                    <w:t>少量</w:t>
                  </w:r>
                </w:p>
              </w:tc>
              <w:tc>
                <w:tcPr>
                  <w:tcW w:w="1168" w:type="dxa"/>
                  <w:vAlign w:val="center"/>
                </w:tcPr>
                <w:p>
                  <w:pPr>
                    <w:pStyle w:val="20"/>
                    <w:rPr>
                      <w:rFonts w:hint="default"/>
                      <w:lang w:val="en-US" w:eastAsia="zh-CN"/>
                    </w:rPr>
                  </w:pPr>
                  <w:r>
                    <w:rPr>
                      <w:rFonts w:hint="eastAsia"/>
                      <w:lang w:val="en-US" w:eastAsia="zh-CN"/>
                    </w:rPr>
                    <w:t>/</w:t>
                  </w:r>
                </w:p>
              </w:tc>
              <w:tc>
                <w:tcPr>
                  <w:tcW w:w="1177" w:type="dxa"/>
                  <w:vAlign w:val="center"/>
                </w:tcPr>
                <w:p>
                  <w:pPr>
                    <w:pStyle w:val="20"/>
                    <w:rPr>
                      <w:rFonts w:hint="default" w:eastAsia="宋体"/>
                      <w:lang w:val="en-US" w:eastAsia="zh-CN"/>
                    </w:rPr>
                  </w:pPr>
                  <w:r>
                    <w:rPr>
                      <w:rFonts w:hint="eastAsia"/>
                      <w:lang w:val="en-US" w:eastAsia="zh-CN"/>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tblHeader/>
                <w:jc w:val="center"/>
              </w:trPr>
              <w:tc>
                <w:tcPr>
                  <w:tcW w:w="709" w:type="dxa"/>
                  <w:vMerge w:val="continue"/>
                  <w:vAlign w:val="center"/>
                </w:tcPr>
                <w:p>
                  <w:pPr>
                    <w:pStyle w:val="20"/>
                    <w:rPr>
                      <w:rFonts w:hint="eastAsia"/>
                      <w:lang w:val="en-US" w:eastAsia="zh-CN"/>
                    </w:rPr>
                  </w:pPr>
                </w:p>
              </w:tc>
              <w:tc>
                <w:tcPr>
                  <w:tcW w:w="992" w:type="dxa"/>
                  <w:vMerge w:val="continue"/>
                  <w:vAlign w:val="center"/>
                </w:tcPr>
                <w:p>
                  <w:pPr>
                    <w:pStyle w:val="20"/>
                    <w:rPr>
                      <w:rFonts w:hint="eastAsia"/>
                      <w:lang w:val="en-US" w:eastAsia="zh-CN"/>
                    </w:rPr>
                  </w:pPr>
                </w:p>
              </w:tc>
              <w:tc>
                <w:tcPr>
                  <w:tcW w:w="1089" w:type="dxa"/>
                  <w:vAlign w:val="center"/>
                </w:tcPr>
                <w:p>
                  <w:pPr>
                    <w:pStyle w:val="20"/>
                    <w:rPr>
                      <w:rFonts w:hint="default"/>
                      <w:lang w:val="en-US" w:eastAsia="zh-CN"/>
                    </w:rPr>
                  </w:pPr>
                  <w:r>
                    <w:rPr>
                      <w:rFonts w:hint="eastAsia"/>
                      <w:lang w:val="en-US" w:eastAsia="zh-CN"/>
                    </w:rPr>
                    <w:t>氨</w:t>
                  </w:r>
                </w:p>
              </w:tc>
              <w:tc>
                <w:tcPr>
                  <w:tcW w:w="1249" w:type="dxa"/>
                  <w:vAlign w:val="center"/>
                </w:tcPr>
                <w:p>
                  <w:pPr>
                    <w:pStyle w:val="20"/>
                    <w:ind w:firstLine="0" w:firstLineChars="0"/>
                    <w:rPr>
                      <w:rFonts w:hint="default"/>
                      <w:szCs w:val="18"/>
                      <w:lang w:val="en-US" w:eastAsia="zh-CN"/>
                    </w:rPr>
                  </w:pPr>
                  <w:r>
                    <w:rPr>
                      <w:rFonts w:hint="eastAsia"/>
                      <w:szCs w:val="18"/>
                      <w:lang w:val="en-US" w:eastAsia="zh-CN"/>
                    </w:rPr>
                    <w:t>/</w:t>
                  </w:r>
                </w:p>
              </w:tc>
              <w:tc>
                <w:tcPr>
                  <w:tcW w:w="1147" w:type="dxa"/>
                  <w:vAlign w:val="center"/>
                </w:tcPr>
                <w:p>
                  <w:pPr>
                    <w:pStyle w:val="20"/>
                    <w:ind w:firstLine="0" w:firstLineChars="0"/>
                    <w:rPr>
                      <w:rFonts w:hint="default"/>
                      <w:szCs w:val="18"/>
                      <w:lang w:val="en-US" w:eastAsia="zh-CN"/>
                    </w:rPr>
                  </w:pPr>
                  <w:r>
                    <w:rPr>
                      <w:rFonts w:hint="eastAsia"/>
                      <w:szCs w:val="18"/>
                      <w:lang w:val="en-US" w:eastAsia="zh-CN"/>
                    </w:rPr>
                    <w:t>少量</w:t>
                  </w:r>
                </w:p>
              </w:tc>
              <w:tc>
                <w:tcPr>
                  <w:tcW w:w="1168" w:type="dxa"/>
                  <w:vAlign w:val="center"/>
                </w:tcPr>
                <w:p>
                  <w:pPr>
                    <w:pStyle w:val="20"/>
                    <w:rPr>
                      <w:rFonts w:hint="eastAsia"/>
                      <w:lang w:val="en-US" w:eastAsia="zh-CN"/>
                    </w:rPr>
                  </w:pPr>
                </w:p>
              </w:tc>
              <w:tc>
                <w:tcPr>
                  <w:tcW w:w="1177" w:type="dxa"/>
                  <w:vAlign w:val="center"/>
                </w:tcPr>
                <w:p>
                  <w:pPr>
                    <w:pStyle w:val="20"/>
                    <w:rPr>
                      <w:rFonts w:hint="default" w:eastAsia="宋体"/>
                      <w:lang w:val="en-US" w:eastAsia="zh-CN"/>
                    </w:rPr>
                  </w:pPr>
                  <w:r>
                    <w:rPr>
                      <w:rFonts w:hint="eastAsia"/>
                      <w:lang w:val="en-US" w:eastAsia="zh-CN"/>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tblHeader/>
                <w:jc w:val="center"/>
              </w:trPr>
              <w:tc>
                <w:tcPr>
                  <w:tcW w:w="709" w:type="dxa"/>
                  <w:vMerge w:val="continue"/>
                  <w:vAlign w:val="center"/>
                </w:tcPr>
                <w:p>
                  <w:pPr>
                    <w:pStyle w:val="20"/>
                    <w:rPr>
                      <w:rFonts w:hint="eastAsia"/>
                      <w:lang w:val="en-US" w:eastAsia="zh-CN"/>
                    </w:rPr>
                  </w:pPr>
                </w:p>
              </w:tc>
              <w:tc>
                <w:tcPr>
                  <w:tcW w:w="992" w:type="dxa"/>
                  <w:vMerge w:val="continue"/>
                  <w:vAlign w:val="center"/>
                </w:tcPr>
                <w:p>
                  <w:pPr>
                    <w:pStyle w:val="20"/>
                    <w:rPr>
                      <w:rFonts w:hint="eastAsia"/>
                      <w:lang w:val="en-US" w:eastAsia="zh-CN"/>
                    </w:rPr>
                  </w:pPr>
                </w:p>
              </w:tc>
              <w:tc>
                <w:tcPr>
                  <w:tcW w:w="1089" w:type="dxa"/>
                  <w:vAlign w:val="center"/>
                </w:tcPr>
                <w:p>
                  <w:pPr>
                    <w:pStyle w:val="20"/>
                    <w:rPr>
                      <w:rFonts w:hint="default"/>
                      <w:lang w:val="en-US" w:eastAsia="zh-CN"/>
                    </w:rPr>
                  </w:pPr>
                  <w:r>
                    <w:rPr>
                      <w:rFonts w:hint="eastAsia"/>
                      <w:lang w:val="en-US" w:eastAsia="zh-CN"/>
                    </w:rPr>
                    <w:t>臭气浓度</w:t>
                  </w:r>
                </w:p>
              </w:tc>
              <w:tc>
                <w:tcPr>
                  <w:tcW w:w="1249" w:type="dxa"/>
                  <w:vAlign w:val="center"/>
                </w:tcPr>
                <w:p>
                  <w:pPr>
                    <w:pStyle w:val="20"/>
                    <w:ind w:firstLine="0" w:firstLineChars="0"/>
                    <w:rPr>
                      <w:rFonts w:hint="default"/>
                      <w:szCs w:val="18"/>
                      <w:lang w:val="en-US" w:eastAsia="zh-CN"/>
                    </w:rPr>
                  </w:pPr>
                  <w:r>
                    <w:rPr>
                      <w:rFonts w:hint="eastAsia"/>
                      <w:szCs w:val="18"/>
                      <w:lang w:val="en-US" w:eastAsia="zh-CN"/>
                    </w:rPr>
                    <w:t>少量</w:t>
                  </w:r>
                </w:p>
              </w:tc>
              <w:tc>
                <w:tcPr>
                  <w:tcW w:w="1147" w:type="dxa"/>
                  <w:vAlign w:val="center"/>
                </w:tcPr>
                <w:p>
                  <w:pPr>
                    <w:pStyle w:val="20"/>
                    <w:ind w:firstLine="0" w:firstLineChars="0"/>
                    <w:rPr>
                      <w:rFonts w:hint="default"/>
                      <w:szCs w:val="18"/>
                      <w:lang w:val="en-US" w:eastAsia="zh-CN"/>
                    </w:rPr>
                  </w:pPr>
                  <w:r>
                    <w:rPr>
                      <w:rFonts w:hint="eastAsia"/>
                      <w:szCs w:val="18"/>
                      <w:lang w:val="en-US" w:eastAsia="zh-CN"/>
                    </w:rPr>
                    <w:t>/</w:t>
                  </w:r>
                </w:p>
              </w:tc>
              <w:tc>
                <w:tcPr>
                  <w:tcW w:w="1168" w:type="dxa"/>
                  <w:vAlign w:val="center"/>
                </w:tcPr>
                <w:p>
                  <w:pPr>
                    <w:pStyle w:val="20"/>
                    <w:rPr>
                      <w:rFonts w:hint="default"/>
                      <w:lang w:val="en-US" w:eastAsia="zh-CN"/>
                    </w:rPr>
                  </w:pPr>
                  <w:r>
                    <w:rPr>
                      <w:rFonts w:hint="eastAsia"/>
                      <w:lang w:val="en-US" w:eastAsia="zh-CN"/>
                    </w:rPr>
                    <w:t>2000（无量纲）</w:t>
                  </w:r>
                </w:p>
              </w:tc>
              <w:tc>
                <w:tcPr>
                  <w:tcW w:w="1177" w:type="dxa"/>
                  <w:vAlign w:val="center"/>
                </w:tcPr>
                <w:p>
                  <w:pPr>
                    <w:pStyle w:val="20"/>
                    <w:rPr>
                      <w:rFonts w:hint="eastAsia"/>
                    </w:rPr>
                  </w:pPr>
                </w:p>
              </w:tc>
            </w:tr>
            <w:bookmarkEnd w:id="36"/>
          </w:tbl>
          <w:p>
            <w:pPr>
              <w:ind w:firstLine="420"/>
              <w:rPr>
                <w:rFonts w:hint="eastAsia"/>
              </w:rPr>
            </w:pPr>
            <w:r>
              <w:rPr>
                <w:rFonts w:hint="eastAsia"/>
              </w:rPr>
              <w:t>由上表可知，本项目正常工况下，废气排放浓度满足《电池工业污染物排放标准》</w:t>
            </w:r>
          </w:p>
          <w:p>
            <w:pPr>
              <w:ind w:firstLine="420"/>
              <w:rPr>
                <w:rFonts w:hint="eastAsia"/>
              </w:rPr>
            </w:pPr>
            <w:r>
              <w:rPr>
                <w:rFonts w:hint="eastAsia"/>
              </w:rPr>
              <w:t>（GB30484-2013）</w:t>
            </w:r>
            <w:r>
              <w:rPr>
                <w:rFonts w:hint="eastAsia"/>
                <w:lang w:eastAsia="zh-CN"/>
              </w:rPr>
              <w:t>、</w:t>
            </w:r>
            <w:r>
              <w:rPr>
                <w:rFonts w:hint="eastAsia"/>
              </w:rPr>
              <w:t>《饮食业油烟排放标准（试行）》（GB18483-2001）</w:t>
            </w:r>
            <w:r>
              <w:rPr>
                <w:rFonts w:hint="eastAsia"/>
                <w:lang w:val="en-US" w:eastAsia="zh-CN"/>
              </w:rPr>
              <w:t>、《恶臭污染物排放标准》（GB14554-93）等标准要求</w:t>
            </w:r>
            <w:r>
              <w:rPr>
                <w:rFonts w:hint="eastAsia"/>
              </w:rPr>
              <w:t>。</w:t>
            </w:r>
          </w:p>
          <w:p>
            <w:pPr>
              <w:pStyle w:val="6"/>
            </w:pPr>
            <w:r>
              <w:t>4.2.</w:t>
            </w:r>
            <w:r>
              <w:rPr>
                <w:rFonts w:hint="eastAsia"/>
                <w:lang w:val="en-US" w:eastAsia="zh-CN"/>
              </w:rPr>
              <w:t>5</w:t>
            </w:r>
            <w:r>
              <w:t>废气监测要求</w:t>
            </w:r>
          </w:p>
          <w:p>
            <w:pPr>
              <w:ind w:firstLine="420"/>
            </w:pPr>
            <w:r>
              <w:rPr>
                <w:rFonts w:hint="eastAsia"/>
              </w:rPr>
              <w:t>本项目污染源监测计划包括对本项目废气进行定期监测，本项目营运期监测计划</w:t>
            </w:r>
            <w:r>
              <w:rPr>
                <w:rFonts w:hint="eastAsia"/>
                <w:lang w:val="en-US" w:eastAsia="zh-CN"/>
              </w:rPr>
              <w:t>根据</w:t>
            </w:r>
            <w:r>
              <w:rPr>
                <w:rFonts w:hint="eastAsia"/>
              </w:rPr>
              <w:t>《排污单位自行监测技术指南 电池工业》（HJ1204-2021）制定</w:t>
            </w:r>
            <w:r>
              <w:t>。具体监测计划详见表</w:t>
            </w:r>
            <w:r>
              <w:rPr>
                <w:rFonts w:hint="eastAsia"/>
              </w:rPr>
              <w:t>4.2-</w:t>
            </w:r>
            <w:r>
              <w:rPr>
                <w:rFonts w:hint="eastAsia"/>
                <w:lang w:val="en-US" w:eastAsia="zh-CN"/>
              </w:rPr>
              <w:t>5</w:t>
            </w:r>
            <w:r>
              <w:t>。</w:t>
            </w:r>
          </w:p>
          <w:p>
            <w:pPr>
              <w:ind w:firstLine="0" w:firstLineChars="0"/>
              <w:jc w:val="center"/>
              <w:rPr>
                <w:b/>
                <w:bCs/>
              </w:rPr>
            </w:pPr>
            <w:r>
              <w:rPr>
                <w:b/>
                <w:bCs/>
              </w:rPr>
              <w:t>表</w:t>
            </w:r>
            <w:r>
              <w:rPr>
                <w:rFonts w:hint="eastAsia"/>
                <w:b/>
                <w:bCs/>
              </w:rPr>
              <w:t>4.2-</w:t>
            </w:r>
            <w:r>
              <w:rPr>
                <w:rFonts w:hint="eastAsia"/>
                <w:b/>
                <w:bCs/>
                <w:lang w:val="en-US" w:eastAsia="zh-CN"/>
              </w:rPr>
              <w:t>5</w:t>
            </w:r>
            <w:r>
              <w:rPr>
                <w:rFonts w:hint="eastAsia"/>
                <w:b/>
                <w:bCs/>
              </w:rPr>
              <w:t xml:space="preserve"> </w:t>
            </w:r>
            <w:r>
              <w:rPr>
                <w:b/>
                <w:bCs/>
              </w:rPr>
              <w:t xml:space="preserve"> </w:t>
            </w:r>
            <w:r>
              <w:rPr>
                <w:rFonts w:hint="eastAsia"/>
                <w:b/>
                <w:bCs/>
              </w:rPr>
              <w:t>废气</w:t>
            </w:r>
            <w:r>
              <w:rPr>
                <w:b/>
                <w:bCs/>
              </w:rPr>
              <w:t>环境监测计划一览表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1"/>
              <w:gridCol w:w="4077"/>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spacing w:line="300" w:lineRule="exact"/>
                  </w:pPr>
                  <w:r>
                    <w:rPr>
                      <w:rFonts w:hint="eastAsia"/>
                    </w:rPr>
                    <w:t>监测点位</w:t>
                  </w:r>
                </w:p>
              </w:tc>
              <w:tc>
                <w:tcPr>
                  <w:tcW w:w="0" w:type="auto"/>
                  <w:vAlign w:val="center"/>
                </w:tcPr>
                <w:p>
                  <w:pPr>
                    <w:pStyle w:val="20"/>
                    <w:spacing w:line="300" w:lineRule="exact"/>
                  </w:pPr>
                  <w:r>
                    <w:rPr>
                      <w:rFonts w:hint="eastAsia"/>
                    </w:rPr>
                    <w:t>监测指标</w:t>
                  </w:r>
                </w:p>
              </w:tc>
              <w:tc>
                <w:tcPr>
                  <w:tcW w:w="0" w:type="auto"/>
                  <w:vAlign w:val="center"/>
                </w:tcPr>
                <w:p>
                  <w:pPr>
                    <w:pStyle w:val="20"/>
                    <w:spacing w:line="300" w:lineRule="exact"/>
                  </w:pPr>
                  <w:r>
                    <w:rPr>
                      <w:rFonts w:hint="eastAsia"/>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20"/>
                    <w:spacing w:line="300" w:lineRule="exact"/>
                    <w:rPr>
                      <w:rFonts w:hint="eastAsia"/>
                    </w:rPr>
                  </w:pPr>
                  <w:r>
                    <w:rPr>
                      <w:rFonts w:hint="eastAsia"/>
                    </w:rPr>
                    <w:t>污水站废气排放口DA007</w:t>
                  </w:r>
                </w:p>
              </w:tc>
              <w:tc>
                <w:tcPr>
                  <w:tcW w:w="0" w:type="auto"/>
                  <w:vAlign w:val="center"/>
                </w:tcPr>
                <w:p>
                  <w:pPr>
                    <w:pStyle w:val="20"/>
                    <w:spacing w:line="300" w:lineRule="exact"/>
                    <w:rPr>
                      <w:rFonts w:hint="eastAsia"/>
                    </w:rPr>
                  </w:pPr>
                  <w:r>
                    <w:rPr>
                      <w:rFonts w:hint="eastAsia"/>
                    </w:rPr>
                    <w:t>NMHC、氨、硫化氢、臭气浓度</w:t>
                  </w:r>
                </w:p>
              </w:tc>
              <w:tc>
                <w:tcPr>
                  <w:tcW w:w="0" w:type="auto"/>
                  <w:vAlign w:val="center"/>
                </w:tcPr>
                <w:p>
                  <w:pPr>
                    <w:pStyle w:val="20"/>
                    <w:spacing w:line="300" w:lineRule="exact"/>
                    <w:rPr>
                      <w:rFonts w:hint="eastAsia"/>
                    </w:rPr>
                  </w:pPr>
                  <w:r>
                    <w:rPr>
                      <w:rFonts w:hint="eastAsia"/>
                    </w:rPr>
                    <w:t>1 次/半年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Align w:val="center"/>
                </w:tcPr>
                <w:p>
                  <w:pPr>
                    <w:pStyle w:val="20"/>
                    <w:spacing w:line="300" w:lineRule="exact"/>
                  </w:pPr>
                  <w:r>
                    <w:rPr>
                      <w:rFonts w:hint="eastAsia"/>
                    </w:rPr>
                    <w:t>厂界四周</w:t>
                  </w:r>
                </w:p>
              </w:tc>
              <w:tc>
                <w:tcPr>
                  <w:tcW w:w="0" w:type="auto"/>
                  <w:vAlign w:val="center"/>
                </w:tcPr>
                <w:p>
                  <w:pPr>
                    <w:pStyle w:val="20"/>
                    <w:spacing w:line="300" w:lineRule="exact"/>
                  </w:pPr>
                  <w:r>
                    <w:rPr>
                      <w:rFonts w:hint="eastAsia"/>
                    </w:rPr>
                    <w:t>NMHC、颗粒物、氨、硫化氢、臭气浓度</w:t>
                  </w:r>
                </w:p>
              </w:tc>
              <w:tc>
                <w:tcPr>
                  <w:tcW w:w="0" w:type="auto"/>
                  <w:vMerge w:val="restart"/>
                  <w:vAlign w:val="center"/>
                </w:tcPr>
                <w:p>
                  <w:pPr>
                    <w:pStyle w:val="20"/>
                    <w:spacing w:line="300" w:lineRule="exact"/>
                  </w:pPr>
                  <w:r>
                    <w:rPr>
                      <w:rFonts w:hint="eastAsia"/>
                    </w:rPr>
                    <w:t>1 次/年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0" w:type="auto"/>
                  <w:vAlign w:val="center"/>
                </w:tcPr>
                <w:p>
                  <w:pPr>
                    <w:pStyle w:val="20"/>
                    <w:spacing w:line="300" w:lineRule="exact"/>
                  </w:pPr>
                  <w:r>
                    <w:rPr>
                      <w:rFonts w:hint="eastAsia"/>
                    </w:rPr>
                    <w:t>厂区内</w:t>
                  </w:r>
                </w:p>
              </w:tc>
              <w:tc>
                <w:tcPr>
                  <w:tcW w:w="0" w:type="auto"/>
                  <w:vAlign w:val="center"/>
                </w:tcPr>
                <w:p>
                  <w:pPr>
                    <w:pStyle w:val="20"/>
                    <w:spacing w:line="300" w:lineRule="exact"/>
                  </w:pPr>
                  <w:r>
                    <w:rPr>
                      <w:rFonts w:hint="eastAsia"/>
                    </w:rPr>
                    <w:t>非甲烷总烃</w:t>
                  </w:r>
                </w:p>
              </w:tc>
              <w:tc>
                <w:tcPr>
                  <w:tcW w:w="0" w:type="auto"/>
                  <w:vMerge w:val="continue"/>
                  <w:vAlign w:val="center"/>
                </w:tcPr>
                <w:p>
                  <w:pPr>
                    <w:pStyle w:val="20"/>
                    <w:spacing w:line="300" w:lineRule="exact"/>
                  </w:pPr>
                </w:p>
              </w:tc>
            </w:tr>
          </w:tbl>
          <w:p>
            <w:pPr>
              <w:pStyle w:val="6"/>
            </w:pPr>
            <w:r>
              <w:t>4.2.</w:t>
            </w:r>
            <w:r>
              <w:rPr>
                <w:rFonts w:hint="eastAsia"/>
                <w:lang w:val="en-US" w:eastAsia="zh-CN"/>
              </w:rPr>
              <w:t>6</w:t>
            </w:r>
            <w:r>
              <w:t>废气治理措施及可行性分析</w:t>
            </w:r>
          </w:p>
          <w:p>
            <w:pPr>
              <w:ind w:firstLine="420"/>
              <w:rPr>
                <w:b/>
                <w:bCs/>
              </w:rPr>
            </w:pPr>
            <w:r>
              <w:rPr>
                <w:rFonts w:hint="eastAsia"/>
                <w:b/>
                <w:bCs/>
              </w:rPr>
              <w:t>（1）涂胶废气</w:t>
            </w:r>
            <w:r>
              <w:rPr>
                <w:rFonts w:hint="eastAsia"/>
                <w:b/>
                <w:bCs/>
                <w:lang w:eastAsia="zh-CN"/>
              </w:rPr>
              <w:t>、</w:t>
            </w:r>
            <w:r>
              <w:rPr>
                <w:rFonts w:hint="eastAsia"/>
                <w:b/>
                <w:bCs/>
                <w:lang w:val="en-US" w:eastAsia="zh-CN"/>
              </w:rPr>
              <w:t>打胶废气</w:t>
            </w:r>
            <w:r>
              <w:rPr>
                <w:rFonts w:hint="eastAsia"/>
                <w:b/>
                <w:bCs/>
              </w:rPr>
              <w:t>处理措施可行性</w:t>
            </w:r>
          </w:p>
          <w:p>
            <w:pPr>
              <w:bidi w:val="0"/>
              <w:rPr>
                <w:rFonts w:hint="default" w:eastAsia="宋体"/>
                <w:lang w:val="en-US" w:eastAsia="zh-CN"/>
              </w:rPr>
            </w:pPr>
            <w:r>
              <w:rPr>
                <w:rFonts w:hint="eastAsia"/>
              </w:rPr>
              <w:t>根据《浙江省挥发性有机物污染防治可行技术指南 电子工业》，使用VOCs含量（质量比）均低于10%原辅材料的工序，满足排放总量（许可）要求，无组织排放浓度达标的，可不要求采取无组织排放收集和处理措施。根据企业提供的导热结构胶测试报告</w:t>
            </w:r>
            <w:r>
              <w:rPr>
                <w:rFonts w:hint="eastAsia"/>
                <w:lang w:val="en-US" w:eastAsia="zh-CN"/>
              </w:rPr>
              <w:t>和硅酮密封胶</w:t>
            </w:r>
            <w:r>
              <w:rPr>
                <w:rFonts w:hint="eastAsia"/>
              </w:rPr>
              <w:t>测试报告，导热结构胶VOCs含量为2g/kg，</w:t>
            </w:r>
            <w:r>
              <w:rPr>
                <w:rFonts w:hint="eastAsia"/>
                <w:lang w:val="en-US" w:eastAsia="zh-CN"/>
              </w:rPr>
              <w:t>硅酮密封胶</w:t>
            </w:r>
            <w:r>
              <w:rPr>
                <w:rFonts w:hint="eastAsia"/>
              </w:rPr>
              <w:t>VOCs含量为</w:t>
            </w:r>
            <w:r>
              <w:rPr>
                <w:rFonts w:hint="eastAsia"/>
                <w:lang w:val="en-US" w:eastAsia="zh-CN"/>
              </w:rPr>
              <w:t>39.17</w:t>
            </w:r>
            <w:r>
              <w:rPr>
                <w:rFonts w:hint="eastAsia"/>
              </w:rPr>
              <w:t>g/kg</w:t>
            </w:r>
            <w:r>
              <w:rPr>
                <w:rFonts w:hint="eastAsia"/>
                <w:lang w:eastAsia="zh-CN"/>
              </w:rPr>
              <w:t>，</w:t>
            </w:r>
            <w:r>
              <w:rPr>
                <w:rFonts w:hint="eastAsia"/>
              </w:rPr>
              <w:t>VOCs含量能够满足《胶粘剂挥发性有机化合物限量》（GB 33372-2020）要求（</w:t>
            </w:r>
            <w:r>
              <w:rPr>
                <w:rFonts w:hint="eastAsia"/>
                <w:lang w:val="en-US" w:eastAsia="zh-CN"/>
              </w:rPr>
              <w:t>结构胶</w:t>
            </w:r>
            <w:r>
              <w:rPr>
                <w:rFonts w:hint="eastAsia"/>
              </w:rPr>
              <w:t>低于50g/kg</w:t>
            </w:r>
            <w:r>
              <w:rPr>
                <w:rFonts w:hint="eastAsia"/>
                <w:lang w:eastAsia="zh-CN"/>
              </w:rPr>
              <w:t>，</w:t>
            </w:r>
            <w:r>
              <w:rPr>
                <w:rFonts w:hint="eastAsia"/>
                <w:lang w:val="en-US" w:eastAsia="zh-CN"/>
              </w:rPr>
              <w:t>密封胶</w:t>
            </w:r>
            <w:r>
              <w:rPr>
                <w:rFonts w:hint="eastAsia"/>
              </w:rPr>
              <w:t>低于</w:t>
            </w:r>
            <w:r>
              <w:rPr>
                <w:rFonts w:hint="eastAsia"/>
                <w:lang w:val="en-US" w:eastAsia="zh-CN"/>
              </w:rPr>
              <w:t>10</w:t>
            </w:r>
            <w:r>
              <w:rPr>
                <w:rFonts w:hint="eastAsia"/>
              </w:rPr>
              <w:t>0g/kg）</w:t>
            </w:r>
            <w:r>
              <w:rPr>
                <w:rFonts w:hint="eastAsia"/>
                <w:lang w:val="en-US" w:eastAsia="zh-CN"/>
              </w:rPr>
              <w:t>。</w:t>
            </w:r>
          </w:p>
          <w:p>
            <w:pPr>
              <w:bidi w:val="0"/>
              <w:rPr>
                <w:rFonts w:hint="eastAsia"/>
              </w:rPr>
            </w:pPr>
            <w:r>
              <w:rPr>
                <w:rFonts w:hint="eastAsia"/>
              </w:rPr>
              <w:t>根据关于印发&lt;重点行业挥发性有机物综合治理方案&gt;的通知》（环大气[2019]53 号）第三条第（一）款要求：“加强政策引导。企业采用符合国家有关低VOCs含量产品规定的涂料、油墨、胶粘剂等，排放浓度稳定达标且排放速率、排放绩效等满足相关规定的，相应生产工序可不要求建设末端治理设施。使用的原辅材料VOCs含量（质量比）低于10%的工序，可不要求采取无组织排放收集措施”。</w:t>
            </w:r>
          </w:p>
          <w:p>
            <w:pPr>
              <w:bidi w:val="0"/>
            </w:pPr>
            <w:r>
              <w:rPr>
                <w:rFonts w:hint="eastAsia"/>
              </w:rPr>
              <w:t>本项目采用的胶黏剂VOCs含量低于10%，且根据企业无组织</w:t>
            </w:r>
            <w:r>
              <w:rPr>
                <w:rFonts w:hint="eastAsia"/>
                <w:lang w:val="en-US" w:eastAsia="zh-CN"/>
              </w:rPr>
              <w:t>现状</w:t>
            </w:r>
            <w:r>
              <w:rPr>
                <w:rFonts w:hint="eastAsia"/>
              </w:rPr>
              <w:t>监测数据可知，企业厂界无组织废气中的非甲烷总烃可以达标排放，排放绩效满足《关于支持低挥发性有机物含量原辅材料源头替代的意见》（浙环发[2021]13 号）中的I级绩效要求，因此本项目涂胶工序</w:t>
            </w:r>
            <w:r>
              <w:rPr>
                <w:rFonts w:hint="eastAsia"/>
                <w:lang w:eastAsia="zh-CN"/>
              </w:rPr>
              <w:t>、</w:t>
            </w:r>
            <w:r>
              <w:rPr>
                <w:rFonts w:hint="eastAsia"/>
                <w:lang w:val="en-US" w:eastAsia="zh-CN"/>
              </w:rPr>
              <w:t>打胶工序</w:t>
            </w:r>
            <w:r>
              <w:rPr>
                <w:rFonts w:hint="eastAsia"/>
              </w:rPr>
              <w:t>采取源头削减后，废气在洁净间内排放可行。</w:t>
            </w:r>
          </w:p>
          <w:p>
            <w:pPr>
              <w:bidi w:val="0"/>
              <w:rPr>
                <w:rFonts w:hint="default" w:eastAsia="宋体"/>
                <w:b/>
                <w:bCs/>
                <w:lang w:val="en-US" w:eastAsia="zh-CN"/>
              </w:rPr>
            </w:pPr>
            <w:r>
              <w:rPr>
                <w:rFonts w:hint="eastAsia"/>
                <w:b/>
                <w:bCs/>
                <w:lang w:eastAsia="zh-CN"/>
              </w:rPr>
              <w:t>（</w:t>
            </w:r>
            <w:r>
              <w:rPr>
                <w:rFonts w:hint="eastAsia"/>
                <w:b/>
                <w:bCs/>
                <w:lang w:val="en-US" w:eastAsia="zh-CN"/>
              </w:rPr>
              <w:t>2</w:t>
            </w:r>
            <w:r>
              <w:rPr>
                <w:rFonts w:hint="eastAsia"/>
                <w:b/>
                <w:bCs/>
                <w:lang w:eastAsia="zh-CN"/>
              </w:rPr>
              <w:t>）</w:t>
            </w:r>
            <w:r>
              <w:rPr>
                <w:rFonts w:hint="eastAsia"/>
                <w:b/>
                <w:bCs/>
                <w:lang w:val="en-US" w:eastAsia="zh-CN"/>
              </w:rPr>
              <w:t>污水站废气</w:t>
            </w:r>
            <w:r>
              <w:rPr>
                <w:rFonts w:hint="eastAsia"/>
                <w:b/>
                <w:bCs/>
              </w:rPr>
              <w:t>处理措施可行性</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污水站废气主要是</w:t>
            </w:r>
            <w:r>
              <w:rPr>
                <w:rFonts w:ascii="TimesNewRomanPSMT" w:hAnsi="TimesNewRomanPSMT" w:eastAsia="TimesNewRomanPSMT" w:cs="TimesNewRomanPSMT"/>
                <w:color w:val="000000"/>
                <w:kern w:val="0"/>
                <w:sz w:val="21"/>
                <w:szCs w:val="21"/>
                <w:lang w:val="en-US" w:eastAsia="zh-CN" w:bidi="ar"/>
              </w:rPr>
              <w:t>NMP</w:t>
            </w:r>
            <w:r>
              <w:rPr>
                <w:rFonts w:hint="eastAsia" w:ascii="宋体" w:hAnsi="宋体" w:eastAsia="宋体" w:cs="宋体"/>
                <w:color w:val="000000"/>
                <w:kern w:val="0"/>
                <w:sz w:val="21"/>
                <w:szCs w:val="21"/>
                <w:lang w:val="en-US" w:eastAsia="zh-CN" w:bidi="ar"/>
              </w:rPr>
              <w:t>（以非甲烷总烃计）、恶臭（氨、硫化氢、臭气浓度），污水站废气经采取易产生恶臭气体的构筑物加盖密闭，收集，废气收集后经“碱喷淋</w:t>
            </w:r>
            <w:r>
              <w:rPr>
                <w:rFonts w:hint="default" w:ascii="TimesNewRomanPSMT" w:hAnsi="TimesNewRomanPSMT" w:eastAsia="TimesNewRomanPSMT" w:cs="TimesNewRomanPSMT"/>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除雾</w:t>
            </w:r>
            <w:r>
              <w:rPr>
                <w:rFonts w:hint="default" w:ascii="TimesNewRomanPSMT" w:hAnsi="TimesNewRomanPSMT" w:eastAsia="TimesNewRomanPSMT" w:cs="TimesNewRomanPSMT"/>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活性炭吸附”后经排气筒排放。根据分析废气排放口浓度的非甲烷总烃能够满足《电池工业污染物排放标准》</w:t>
            </w:r>
            <w:r>
              <w:rPr>
                <w:rFonts w:hint="default" w:ascii="TimesNewRomanPSMT" w:hAnsi="TimesNewRomanPSMT" w:eastAsia="TimesNewRomanPSMT" w:cs="TimesNewRomanPSMT"/>
                <w:color w:val="000000"/>
                <w:kern w:val="0"/>
                <w:sz w:val="21"/>
                <w:szCs w:val="21"/>
                <w:lang w:val="en-US" w:eastAsia="zh-CN" w:bidi="ar"/>
              </w:rPr>
              <w:t>(GB30484-2013)</w:t>
            </w:r>
            <w:r>
              <w:rPr>
                <w:rFonts w:hint="eastAsia" w:ascii="宋体" w:hAnsi="宋体" w:eastAsia="宋体" w:cs="宋体"/>
                <w:color w:val="000000"/>
                <w:kern w:val="0"/>
                <w:sz w:val="21"/>
                <w:szCs w:val="21"/>
                <w:lang w:val="en-US" w:eastAsia="zh-CN" w:bidi="ar"/>
              </w:rPr>
              <w:t>要求，恶臭（氨、硫化氢、臭气浓度）能够满足《恶臭污染物排放标准》（</w:t>
            </w:r>
            <w:r>
              <w:rPr>
                <w:rFonts w:hint="default" w:ascii="TimesNewRomanPSMT" w:hAnsi="TimesNewRomanPSMT" w:eastAsia="TimesNewRomanPSMT" w:cs="TimesNewRomanPSMT"/>
                <w:color w:val="000000"/>
                <w:kern w:val="0"/>
                <w:sz w:val="21"/>
                <w:szCs w:val="21"/>
                <w:lang w:val="en-US" w:eastAsia="zh-CN" w:bidi="ar"/>
              </w:rPr>
              <w:t>GB14554-93</w:t>
            </w:r>
            <w:r>
              <w:rPr>
                <w:rFonts w:hint="eastAsia" w:ascii="宋体" w:hAnsi="宋体" w:eastAsia="宋体" w:cs="宋体"/>
                <w:color w:val="000000"/>
                <w:kern w:val="0"/>
                <w:sz w:val="21"/>
                <w:szCs w:val="21"/>
                <w:lang w:val="en-US" w:eastAsia="zh-CN" w:bidi="ar"/>
              </w:rPr>
              <w:t>）要求。</w:t>
            </w:r>
          </w:p>
          <w:p>
            <w:pPr>
              <w:bidi w:val="0"/>
              <w:rPr>
                <w:rFonts w:hint="eastAsia" w:eastAsia="宋体"/>
                <w:b/>
                <w:bCs/>
                <w:lang w:val="en-US" w:eastAsia="zh-CN"/>
              </w:rPr>
            </w:pPr>
            <w:r>
              <w:rPr>
                <w:rFonts w:hint="eastAsia"/>
                <w:b/>
                <w:bCs/>
                <w:lang w:val="en-US" w:eastAsia="zh-CN"/>
              </w:rPr>
              <w:t>（3）食堂油烟</w:t>
            </w:r>
            <w:r>
              <w:rPr>
                <w:rFonts w:hint="eastAsia"/>
                <w:b/>
                <w:bCs/>
              </w:rPr>
              <w:t>处理措施可行性</w:t>
            </w:r>
          </w:p>
          <w:p>
            <w:pPr>
              <w:bidi w:val="0"/>
              <w:rPr>
                <w:rFonts w:hint="eastAsia"/>
              </w:rPr>
            </w:pPr>
            <w:r>
              <w:rPr>
                <w:rFonts w:hint="eastAsia"/>
              </w:rPr>
              <w:t>根据分析，油烟废气经油烟净化器处理后，排放口浓度能够满足《饮食业油烟排放标准（试行）》（GB18483-2001）要求，油烟废气处理措施可行。</w:t>
            </w:r>
          </w:p>
          <w:p>
            <w:pPr>
              <w:pStyle w:val="2"/>
            </w:pPr>
          </w:p>
          <w:p>
            <w:pPr>
              <w:pStyle w:val="6"/>
            </w:pPr>
            <w:r>
              <w:t>4.2.</w:t>
            </w:r>
            <w:r>
              <w:rPr>
                <w:rFonts w:hint="eastAsia"/>
                <w:lang w:val="en-US" w:eastAsia="zh-CN"/>
              </w:rPr>
              <w:t>7</w:t>
            </w:r>
            <w:r>
              <w:t>废气排放环境影响分析</w:t>
            </w:r>
          </w:p>
          <w:p>
            <w:pPr>
              <w:ind w:firstLine="420"/>
              <w:rPr>
                <w:rFonts w:hint="eastAsia"/>
              </w:rPr>
            </w:pPr>
            <w:r>
              <w:rPr>
                <w:rFonts w:hint="eastAsia"/>
              </w:rPr>
              <w:t>根据嘉兴市生态环境局海宁分局提供的资料，海宁市202</w:t>
            </w:r>
            <w:r>
              <w:rPr>
                <w:rFonts w:hint="eastAsia"/>
                <w:lang w:val="en-US" w:eastAsia="zh-CN"/>
              </w:rPr>
              <w:t>4</w:t>
            </w:r>
            <w:r>
              <w:rPr>
                <w:rFonts w:hint="eastAsia"/>
              </w:rPr>
              <w:t>年度环境空气质量为达标区。根据现状监测结果，本项目拟建地特征污染因子非甲烷总烃监测浓度满足《大气污染物综合排放标准详解》，TSP浓度满足《环境空气质量标准》(GB3095-2012)二级标准要求。项目主要产污车间和设备周边500m范围不存在大气环境保护目标。根据分析可得本项目实施后各处理装置排放口主要废气污染物经处理后可实现达标排放。同时，本项目</w:t>
            </w:r>
            <w:r>
              <w:rPr>
                <w:rFonts w:hint="eastAsia"/>
                <w:lang w:val="en-US" w:eastAsia="zh-CN"/>
              </w:rPr>
              <w:t>涂胶工艺</w:t>
            </w:r>
            <w:r>
              <w:rPr>
                <w:rFonts w:hint="eastAsia"/>
              </w:rPr>
              <w:t>用均符合符合《关于印发&lt;重点行业挥发性有机物综合治理方案&gt;的通知》（环大气[2019]53 号）相关要求。项目各排气筒中污染物均能达标排放，无组织排放的废气污染物也均能达标排放。</w:t>
            </w:r>
          </w:p>
          <w:p>
            <w:pPr>
              <w:ind w:firstLine="420"/>
              <w:rPr>
                <w:rFonts w:hint="eastAsia"/>
              </w:rPr>
            </w:pPr>
            <w:r>
              <w:rPr>
                <w:rFonts w:hint="eastAsia"/>
              </w:rPr>
              <w:t>此外，项目</w:t>
            </w:r>
            <w:r>
              <w:rPr>
                <w:rFonts w:hint="eastAsia"/>
                <w:lang w:val="en-US" w:eastAsia="zh-CN"/>
              </w:rPr>
              <w:t>涂胶</w:t>
            </w:r>
            <w:r>
              <w:rPr>
                <w:rFonts w:hint="eastAsia"/>
              </w:rPr>
              <w:t>过程</w:t>
            </w:r>
            <w:r>
              <w:rPr>
                <w:rFonts w:hint="eastAsia"/>
                <w:lang w:eastAsia="zh-CN"/>
              </w:rPr>
              <w:t>、</w:t>
            </w:r>
            <w:r>
              <w:rPr>
                <w:rFonts w:hint="eastAsia"/>
                <w:lang w:val="en-US" w:eastAsia="zh-CN"/>
              </w:rPr>
              <w:t>打胶过程以及污水站</w:t>
            </w:r>
            <w:r>
              <w:rPr>
                <w:rFonts w:hint="eastAsia"/>
              </w:rPr>
              <w:t>会产生一定量臭气，但不属于臭气强度较大的物质。为了进一步了解项目恶臭废气对周边环境的影响情况，环评类比调查</w:t>
            </w:r>
            <w:r>
              <w:rPr>
                <w:rFonts w:hint="eastAsia"/>
                <w:lang w:val="en-US" w:eastAsia="zh-CN"/>
              </w:rPr>
              <w:t>现有项目</w:t>
            </w:r>
            <w:r>
              <w:rPr>
                <w:rFonts w:hint="eastAsia"/>
              </w:rPr>
              <w:t>生产运行情况，主要引用企业验收时的监测数据，根据企业实际生产情况调查，根据验收监测结果，</w:t>
            </w:r>
            <w:r>
              <w:rPr>
                <w:rFonts w:hint="eastAsia"/>
                <w:lang w:val="en-US" w:eastAsia="zh-CN"/>
              </w:rPr>
              <w:t>企业</w:t>
            </w:r>
            <w:r>
              <w:rPr>
                <w:rFonts w:hint="eastAsia"/>
              </w:rPr>
              <w:t>各厂界无组织废监测点位的氟化氢、非甲烷总烃、颗粒物均符合《电池工业污染物排放标准》(GB30484-2013)表 6 现有和新建企业边界大气污染物浓度限值，臭气浓度最高浓度符合《恶臭污染物排放标准》（GB14554-93）表 1 厂界标准值。</w:t>
            </w:r>
          </w:p>
          <w:p>
            <w:pPr>
              <w:ind w:firstLine="420"/>
              <w:rPr>
                <w:rFonts w:hint="eastAsia"/>
              </w:rPr>
            </w:pPr>
            <w:r>
              <w:rPr>
                <w:rFonts w:hint="eastAsia"/>
                <w:lang w:val="en-US" w:eastAsia="zh-CN"/>
              </w:rPr>
              <w:t>本</w:t>
            </w:r>
            <w:r>
              <w:rPr>
                <w:rFonts w:hint="eastAsia"/>
              </w:rPr>
              <w:t>项目所采用的生产工艺、原辅材料、生产设备以及废气收集、处理设施与</w:t>
            </w:r>
            <w:r>
              <w:rPr>
                <w:rFonts w:hint="eastAsia"/>
                <w:lang w:val="en-US" w:eastAsia="zh-CN"/>
              </w:rPr>
              <w:t>现有项目模组组装工序一致</w:t>
            </w:r>
            <w:r>
              <w:rPr>
                <w:rFonts w:hint="eastAsia"/>
                <w:lang w:eastAsia="zh-CN"/>
              </w:rPr>
              <w:t>，</w:t>
            </w:r>
            <w:r>
              <w:rPr>
                <w:rFonts w:hint="eastAsia"/>
              </w:rPr>
              <w:t>因此根据工程分析，在采取环评所提出的废气防止措施后，项目厂界非甲烷总烃、颗粒物、臭气浓度均能够满足相关标准要求，项目无组织非甲烷总烃、颗粒物、臭气对周边环境影响不大。</w:t>
            </w:r>
          </w:p>
          <w:p>
            <w:pPr>
              <w:ind w:firstLine="420"/>
              <w:rPr>
                <w:rFonts w:hint="eastAsia"/>
              </w:rPr>
            </w:pPr>
            <w:r>
              <w:rPr>
                <w:rFonts w:hint="eastAsia"/>
              </w:rPr>
              <w:t>综上所述，本项目废气治理工艺可行，正常情况下，本项目废气污染物经治理后可实现达标排放，且本项目位于海宁经济开发区尖山新区，距离周边敏感点均较远，预计项目废气正常排放对周边居民影响可接受。</w:t>
            </w:r>
          </w:p>
          <w:p>
            <w:pPr>
              <w:pStyle w:val="5"/>
              <w:spacing w:before="0"/>
              <w:rPr>
                <w:rFonts w:hint="default"/>
              </w:rPr>
            </w:pPr>
            <w:r>
              <w:t>4.3运营期水环境影响和保护措施</w:t>
            </w:r>
          </w:p>
          <w:p>
            <w:pPr>
              <w:pStyle w:val="6"/>
            </w:pPr>
            <w:r>
              <w:t>4.3.1废水污染源强分析</w:t>
            </w:r>
          </w:p>
          <w:p>
            <w:pPr>
              <w:ind w:firstLine="420"/>
              <w:rPr>
                <w:rFonts w:hint="eastAsia"/>
              </w:rPr>
            </w:pPr>
            <w:r>
              <w:rPr>
                <w:rFonts w:hint="eastAsia"/>
              </w:rPr>
              <w:t>本项目废水包</w:t>
            </w:r>
            <w:r>
              <w:rPr>
                <w:rFonts w:hint="eastAsia"/>
                <w:lang w:val="en-US" w:eastAsia="zh-CN"/>
              </w:rPr>
              <w:t>含</w:t>
            </w:r>
            <w:r>
              <w:rPr>
                <w:rFonts w:hint="eastAsia"/>
              </w:rPr>
              <w:t>淋雨测试废水</w:t>
            </w:r>
            <w:r>
              <w:rPr>
                <w:rFonts w:hint="eastAsia"/>
                <w:lang w:eastAsia="zh-CN"/>
              </w:rPr>
              <w:t>、</w:t>
            </w:r>
            <w:r>
              <w:rPr>
                <w:rFonts w:hint="eastAsia"/>
                <w:lang w:val="en-US" w:eastAsia="zh-CN"/>
              </w:rPr>
              <w:t>食堂废水</w:t>
            </w:r>
            <w:r>
              <w:rPr>
                <w:rFonts w:hint="eastAsia"/>
              </w:rPr>
              <w:t>以及职工生活污水。</w:t>
            </w:r>
          </w:p>
          <w:p>
            <w:pPr>
              <w:bidi w:val="0"/>
              <w:rPr>
                <w:rFonts w:hint="default"/>
                <w:b/>
                <w:bCs/>
                <w:lang w:val="en-US" w:eastAsia="zh-CN"/>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淋雨测试废水</w:t>
            </w:r>
          </w:p>
          <w:p>
            <w:pPr>
              <w:bidi w:val="0"/>
              <w:rPr>
                <w:rFonts w:hint="eastAsia"/>
                <w:lang w:eastAsia="zh-CN"/>
              </w:rPr>
            </w:pPr>
            <w:r>
              <w:rPr>
                <w:rFonts w:hint="eastAsia"/>
                <w:lang w:eastAsia="zh-CN"/>
              </w:rPr>
              <w:t>根据建设单位提供的资料，项目储能集装箱在变更集装箱类型或者规格的时候需要进行淋雨测试，即采用自来水模拟降雨，测试外壳防水性。淋雨测试废水产生量为</w:t>
            </w:r>
            <w:r>
              <w:rPr>
                <w:rFonts w:hint="eastAsia"/>
                <w:lang w:val="en-US" w:eastAsia="zh-CN"/>
              </w:rPr>
              <w:t>3t</w:t>
            </w:r>
            <w:r>
              <w:rPr>
                <w:rFonts w:hint="eastAsia"/>
                <w:lang w:eastAsia="zh-CN"/>
              </w:rPr>
              <w:t>/a，该类污水的主要污染物为CODcr50mg/L，SS150。淋雨测试废水经测试区四周的集水沟收集后暂存于循环水槽中，待下次测试时循环使用，不外排。</w:t>
            </w:r>
          </w:p>
          <w:p>
            <w:pPr>
              <w:bidi w:val="0"/>
              <w:rPr>
                <w:rFonts w:hint="default"/>
                <w:b/>
                <w:bCs/>
                <w:lang w:val="en-US" w:eastAsia="zh-CN"/>
              </w:rPr>
            </w:pPr>
            <w:r>
              <w:rPr>
                <w:rFonts w:hint="eastAsia"/>
                <w:b/>
                <w:bCs/>
                <w:lang w:eastAsia="zh-CN"/>
              </w:rPr>
              <w:t>（</w:t>
            </w:r>
            <w:r>
              <w:rPr>
                <w:rFonts w:hint="eastAsia"/>
                <w:b/>
                <w:bCs/>
                <w:lang w:val="en-US" w:eastAsia="zh-CN"/>
              </w:rPr>
              <w:t>2</w:t>
            </w:r>
            <w:r>
              <w:rPr>
                <w:rFonts w:hint="eastAsia"/>
                <w:b/>
                <w:bCs/>
                <w:lang w:eastAsia="zh-CN"/>
              </w:rPr>
              <w:t>）</w:t>
            </w:r>
            <w:r>
              <w:rPr>
                <w:rFonts w:hint="eastAsia"/>
                <w:b/>
                <w:bCs/>
                <w:lang w:val="en-US" w:eastAsia="zh-CN"/>
              </w:rPr>
              <w:t>生活污水</w:t>
            </w:r>
          </w:p>
          <w:p>
            <w:pPr>
              <w:bidi w:val="0"/>
              <w:rPr>
                <w:rFonts w:hint="eastAsia"/>
                <w:lang w:eastAsia="zh-CN"/>
              </w:rPr>
            </w:pPr>
            <w:r>
              <w:rPr>
                <w:rFonts w:hint="eastAsia"/>
                <w:lang w:val="en-US" w:eastAsia="zh-CN"/>
              </w:rPr>
              <w:t>本</w:t>
            </w:r>
            <w:r>
              <w:rPr>
                <w:rFonts w:hint="eastAsia"/>
                <w:lang w:eastAsia="zh-CN"/>
              </w:rPr>
              <w:t>项目</w:t>
            </w:r>
            <w:r>
              <w:rPr>
                <w:rFonts w:hint="eastAsia"/>
                <w:lang w:val="en-US" w:eastAsia="zh-CN"/>
              </w:rPr>
              <w:t>新增</w:t>
            </w:r>
            <w:r>
              <w:rPr>
                <w:rFonts w:hint="eastAsia"/>
                <w:lang w:eastAsia="zh-CN"/>
              </w:rPr>
              <w:t>职工</w:t>
            </w:r>
            <w:r>
              <w:rPr>
                <w:rFonts w:hint="eastAsia"/>
                <w:lang w:val="en-US" w:eastAsia="zh-CN"/>
              </w:rPr>
              <w:t>16</w:t>
            </w:r>
            <w:r>
              <w:rPr>
                <w:rFonts w:hint="eastAsia"/>
                <w:lang w:eastAsia="zh-CN"/>
              </w:rPr>
              <w:t>0人，年工作3</w:t>
            </w:r>
            <w:r>
              <w:rPr>
                <w:rFonts w:hint="eastAsia"/>
                <w:lang w:val="en-US" w:eastAsia="zh-CN"/>
              </w:rPr>
              <w:t>3</w:t>
            </w:r>
            <w:r>
              <w:rPr>
                <w:rFonts w:hint="eastAsia"/>
                <w:lang w:eastAsia="zh-CN"/>
              </w:rPr>
              <w:t>0天，均不在厂区住宿，用水量按50L/人·天计，则生活用水量为</w:t>
            </w:r>
            <w:r>
              <w:rPr>
                <w:rFonts w:hint="eastAsia"/>
                <w:lang w:val="en-US" w:eastAsia="zh-CN"/>
              </w:rPr>
              <w:t>2640</w:t>
            </w:r>
            <w:r>
              <w:rPr>
                <w:rFonts w:hint="eastAsia"/>
                <w:lang w:eastAsia="zh-CN"/>
              </w:rPr>
              <w:t>t/a，污水产生系数取0.</w:t>
            </w:r>
            <w:r>
              <w:rPr>
                <w:rFonts w:hint="eastAsia"/>
                <w:lang w:val="en-US" w:eastAsia="zh-CN"/>
              </w:rPr>
              <w:t>9</w:t>
            </w:r>
            <w:r>
              <w:rPr>
                <w:rFonts w:hint="eastAsia"/>
                <w:lang w:eastAsia="zh-CN"/>
              </w:rPr>
              <w:t>，则生活污水产生量约为</w:t>
            </w:r>
            <w:r>
              <w:rPr>
                <w:rFonts w:hint="eastAsia"/>
                <w:lang w:val="en-US" w:eastAsia="zh-CN"/>
              </w:rPr>
              <w:t>2376</w:t>
            </w:r>
            <w:r>
              <w:rPr>
                <w:rFonts w:hint="eastAsia"/>
                <w:lang w:eastAsia="zh-CN"/>
              </w:rPr>
              <w:t>t/a。类比城市居民生活污水水质，生活污水水质为pH6~9、COD350mg/L、NH</w:t>
            </w:r>
            <w:r>
              <w:rPr>
                <w:rFonts w:hint="eastAsia"/>
                <w:vertAlign w:val="subscript"/>
                <w:lang w:eastAsia="zh-CN"/>
              </w:rPr>
              <w:t>3</w:t>
            </w:r>
            <w:r>
              <w:rPr>
                <w:rFonts w:hint="eastAsia"/>
                <w:lang w:eastAsia="zh-CN"/>
              </w:rPr>
              <w:t>-N35mgL、总磷5mg/L。生活污水经化粪池预处理后排入厂区综合污水站，处理达到《电池工业污染物排放标准》(GB30484-2013)后纳入园区污水管网，最终进入海宁市尖山污水处理厂处理后达标排放。</w:t>
            </w:r>
          </w:p>
          <w:p>
            <w:pPr>
              <w:bidi w:val="0"/>
              <w:rPr>
                <w:rFonts w:hint="default"/>
                <w:b/>
                <w:bCs/>
                <w:lang w:val="en-US" w:eastAsia="zh-CN"/>
              </w:rPr>
            </w:pPr>
            <w:r>
              <w:rPr>
                <w:rFonts w:hint="eastAsia"/>
                <w:b/>
                <w:bCs/>
                <w:lang w:eastAsia="zh-CN"/>
              </w:rPr>
              <w:t>（</w:t>
            </w:r>
            <w:r>
              <w:rPr>
                <w:rFonts w:hint="eastAsia"/>
                <w:b/>
                <w:bCs/>
                <w:lang w:val="en-US" w:eastAsia="zh-CN"/>
              </w:rPr>
              <w:t>3</w:t>
            </w:r>
            <w:r>
              <w:rPr>
                <w:rFonts w:hint="eastAsia"/>
                <w:b/>
                <w:bCs/>
                <w:lang w:eastAsia="zh-CN"/>
              </w:rPr>
              <w:t>）</w:t>
            </w:r>
            <w:r>
              <w:rPr>
                <w:rFonts w:hint="eastAsia"/>
                <w:b/>
                <w:bCs/>
                <w:lang w:val="en-US" w:eastAsia="zh-CN"/>
              </w:rPr>
              <w:t>食堂废水</w:t>
            </w:r>
          </w:p>
          <w:p>
            <w:pPr>
              <w:bidi w:val="0"/>
            </w:pPr>
            <w:r>
              <w:rPr>
                <w:rFonts w:hint="default"/>
                <w:lang w:val="en-US" w:eastAsia="zh-CN"/>
              </w:rPr>
              <w:t>本项目营运期</w:t>
            </w:r>
            <w:r>
              <w:rPr>
                <w:rFonts w:hint="eastAsia"/>
                <w:lang w:val="en-US" w:eastAsia="zh-CN"/>
              </w:rPr>
              <w:t>160</w:t>
            </w:r>
            <w:r>
              <w:rPr>
                <w:rFonts w:hint="default"/>
                <w:lang w:val="en-US" w:eastAsia="zh-CN"/>
              </w:rPr>
              <w:t>人分为2班，厂区就餐人数约100人，食堂用水量按20L/人·餐计，每日3餐，则食堂用水量为</w:t>
            </w:r>
            <w:r>
              <w:rPr>
                <w:rFonts w:hint="eastAsia"/>
                <w:lang w:val="en-US" w:eastAsia="zh-CN"/>
              </w:rPr>
              <w:t>6</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1980</w:t>
            </w:r>
            <w:r>
              <w:rPr>
                <w:rFonts w:hint="default"/>
                <w:lang w:val="en-US" w:eastAsia="zh-CN"/>
              </w:rPr>
              <w:t>m</w:t>
            </w:r>
            <w:r>
              <w:rPr>
                <w:rFonts w:hint="default"/>
                <w:vertAlign w:val="superscript"/>
                <w:lang w:val="en-US" w:eastAsia="zh-CN"/>
              </w:rPr>
              <w:t>3</w:t>
            </w:r>
            <w:r>
              <w:rPr>
                <w:rFonts w:hint="default"/>
                <w:lang w:val="en-US" w:eastAsia="zh-CN"/>
              </w:rPr>
              <w:t>/a），污水产生系数取</w:t>
            </w:r>
            <w:r>
              <w:rPr>
                <w:rFonts w:hint="eastAsia"/>
                <w:lang w:val="en-US" w:eastAsia="zh-CN"/>
              </w:rPr>
              <w:t>9</w:t>
            </w:r>
            <w:r>
              <w:rPr>
                <w:rFonts w:hint="default"/>
                <w:lang w:val="en-US" w:eastAsia="zh-CN"/>
              </w:rPr>
              <w:t>，则食堂废水产生量为</w:t>
            </w:r>
            <w:r>
              <w:rPr>
                <w:rFonts w:hint="eastAsia"/>
                <w:lang w:val="en-US" w:eastAsia="zh-CN"/>
              </w:rPr>
              <w:t>5.4</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1782</w:t>
            </w:r>
            <w:r>
              <w:rPr>
                <w:rFonts w:hint="default"/>
                <w:lang w:val="en-US" w:eastAsia="zh-CN"/>
              </w:rPr>
              <w:t>m</w:t>
            </w:r>
            <w:r>
              <w:rPr>
                <w:rFonts w:hint="default"/>
                <w:vertAlign w:val="superscript"/>
                <w:lang w:val="en-US" w:eastAsia="zh-CN"/>
              </w:rPr>
              <w:t>3</w:t>
            </w:r>
            <w:r>
              <w:rPr>
                <w:rFonts w:hint="default"/>
                <w:lang w:val="en-US" w:eastAsia="zh-CN"/>
              </w:rPr>
              <w:t>/a）。食堂污水主要污染因子浓度分别为COD350mg/L、BOD</w:t>
            </w:r>
            <w:r>
              <w:rPr>
                <w:rFonts w:hint="default"/>
                <w:vertAlign w:val="subscript"/>
                <w:lang w:val="en-US" w:eastAsia="zh-CN"/>
              </w:rPr>
              <w:t>5</w:t>
            </w:r>
            <w:r>
              <w:rPr>
                <w:rFonts w:hint="default"/>
                <w:lang w:val="en-US" w:eastAsia="zh-CN"/>
              </w:rPr>
              <w:t>200mg/L、SS约400mg/L、氨氮35mg/L、总磷5mg/L，动植物油80mg/L。经隔油池预处理后与生活污水一同进入化粪池，然后进入厂区综合污水站处理达到《电池工业污染物排放标准》(GB30484-2013)后排入园区污水管网，最终进入海宁市尖山污水处理厂处理后达标排放。</w:t>
            </w:r>
            <w:r>
              <w:rPr>
                <w:rFonts w:hint="eastAsia"/>
              </w:rPr>
              <w:t>废水产生及排放情况见表4.3-1。</w:t>
            </w:r>
          </w:p>
          <w:p>
            <w:pPr>
              <w:bidi w:val="0"/>
              <w:ind w:left="0" w:leftChars="0" w:firstLine="0" w:firstLineChars="0"/>
              <w:jc w:val="center"/>
              <w:rPr>
                <w:b/>
                <w:bCs/>
              </w:rPr>
            </w:pPr>
            <w:r>
              <w:rPr>
                <w:b/>
                <w:bCs/>
              </w:rPr>
              <w:t>表</w:t>
            </w:r>
            <w:r>
              <w:rPr>
                <w:rFonts w:hint="eastAsia"/>
                <w:b/>
                <w:bCs/>
              </w:rPr>
              <w:t>4.3-1  本项目废水</w:t>
            </w:r>
            <w:r>
              <w:rPr>
                <w:b/>
                <w:bCs/>
              </w:rPr>
              <w:t>污染物的</w:t>
            </w:r>
            <w:r>
              <w:rPr>
                <w:rFonts w:hint="eastAsia"/>
                <w:b/>
                <w:bCs/>
              </w:rPr>
              <w:t>产排情况</w:t>
            </w:r>
          </w:p>
          <w:tbl>
            <w:tblPr>
              <w:tblStyle w:val="15"/>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011"/>
              <w:gridCol w:w="977"/>
              <w:gridCol w:w="1019"/>
              <w:gridCol w:w="1240"/>
              <w:gridCol w:w="1045"/>
              <w:gridCol w:w="1232"/>
              <w:gridCol w:w="13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4" w:hRule="atLeast"/>
                <w:jc w:val="center"/>
              </w:trPr>
              <w:tc>
                <w:tcPr>
                  <w:tcW w:w="10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污染物类别</w:t>
                  </w:r>
                </w:p>
              </w:tc>
              <w:tc>
                <w:tcPr>
                  <w:tcW w:w="97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污水量（t/a）</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污染物名称</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产生浓度（mg/L）</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产生量（t/a）</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排放浓度（mg/L）</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排放量（t/a）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7" w:hRule="atLeast"/>
                <w:jc w:val="center"/>
              </w:trPr>
              <w:tc>
                <w:tcPr>
                  <w:tcW w:w="1011"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生活污水</w:t>
                  </w:r>
                </w:p>
              </w:tc>
              <w:tc>
                <w:tcPr>
                  <w:tcW w:w="97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2376</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CODcr</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350</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0.832</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40</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0.095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97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NH</w:t>
                  </w:r>
                  <w:r>
                    <w:rPr>
                      <w:rFonts w:hint="eastAsia"/>
                      <w:sz w:val="18"/>
                      <w:szCs w:val="18"/>
                      <w:vertAlign w:val="subscript"/>
                    </w:rPr>
                    <w:t>3</w:t>
                  </w:r>
                  <w:r>
                    <w:rPr>
                      <w:rFonts w:hint="eastAsia"/>
                      <w:sz w:val="18"/>
                      <w:szCs w:val="18"/>
                    </w:rPr>
                    <w:t>-N</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35</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0.083</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2（4）*</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0.004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食堂废水</w:t>
                  </w:r>
                </w:p>
              </w:tc>
              <w:tc>
                <w:tcPr>
                  <w:tcW w:w="97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1782</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CODcr</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350</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0.624</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40</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97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NH</w:t>
                  </w:r>
                  <w:r>
                    <w:rPr>
                      <w:rFonts w:hint="eastAsia"/>
                      <w:sz w:val="18"/>
                      <w:szCs w:val="18"/>
                      <w:vertAlign w:val="subscript"/>
                    </w:rPr>
                    <w:t>3</w:t>
                  </w:r>
                  <w:r>
                    <w:rPr>
                      <w:rFonts w:hint="eastAsia"/>
                      <w:sz w:val="18"/>
                      <w:szCs w:val="18"/>
                    </w:rPr>
                    <w:t>-N</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35</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0.062</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2（4）*</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淋雨测试废水</w:t>
                  </w:r>
                </w:p>
              </w:tc>
              <w:tc>
                <w:tcPr>
                  <w:tcW w:w="97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3</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COD</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50</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0.00015</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40</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0.00012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合计</w:t>
                  </w:r>
                </w:p>
              </w:tc>
              <w:tc>
                <w:tcPr>
                  <w:tcW w:w="97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4161</w:t>
                  </w: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CODcr</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350</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1.456</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40</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0.166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97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p>
              </w:tc>
              <w:tc>
                <w:tcPr>
                  <w:tcW w:w="101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NH</w:t>
                  </w:r>
                  <w:r>
                    <w:rPr>
                      <w:rFonts w:hint="eastAsia"/>
                      <w:sz w:val="18"/>
                      <w:szCs w:val="18"/>
                      <w:vertAlign w:val="subscript"/>
                    </w:rPr>
                    <w:t>3</w:t>
                  </w:r>
                  <w:r>
                    <w:rPr>
                      <w:rFonts w:hint="eastAsia"/>
                      <w:sz w:val="18"/>
                      <w:szCs w:val="18"/>
                    </w:rPr>
                    <w:t>-N</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35</w:t>
                  </w:r>
                </w:p>
              </w:tc>
              <w:tc>
                <w:tcPr>
                  <w:tcW w:w="10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0.146</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rPr>
                    <w:t>2（4）*</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0.008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7859"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sz w:val="18"/>
                      <w:szCs w:val="18"/>
                    </w:rPr>
                  </w:pPr>
                  <w:r>
                    <w:rPr>
                      <w:rFonts w:hint="eastAsia"/>
                      <w:sz w:val="18"/>
                      <w:szCs w:val="18"/>
                    </w:rPr>
                    <w:t>注*：括号内数值为每年11月1日至次年3月31日执行。</w:t>
                  </w:r>
                </w:p>
              </w:tc>
            </w:tr>
          </w:tbl>
          <w:p>
            <w:pPr>
              <w:pStyle w:val="6"/>
              <w:bidi w:val="0"/>
              <w:rPr>
                <w:rFonts w:hint="eastAsia"/>
                <w:lang w:eastAsia="zh-CN"/>
              </w:rPr>
            </w:pPr>
            <w:r>
              <w:rPr>
                <w:rFonts w:hint="eastAsia"/>
                <w:lang w:eastAsia="zh-CN"/>
              </w:rPr>
              <w:t>4.3.2水污染源排放量情况</w:t>
            </w:r>
          </w:p>
          <w:p>
            <w:pPr>
              <w:bidi w:val="0"/>
              <w:rPr>
                <w:rFonts w:hint="eastAsia"/>
                <w:lang w:eastAsia="zh-CN"/>
              </w:rPr>
            </w:pPr>
            <w:r>
              <w:rPr>
                <w:rFonts w:hint="eastAsia"/>
                <w:lang w:eastAsia="zh-CN"/>
              </w:rPr>
              <w:t>根据工程分析，本项目生活污水经化粪池处理后，与经污水站处理的生产废水一起达标纳入市政污水管网，最终由海宁市尖山污水处理厂处理，其中化学需氧量、氨氮、总氮、总磷等指标达到《城镇污水处理厂主要水污染物排放标准》（DB33/2169-2018）表1中的排放限值后排海，其余指标执行《城镇污水处理厂污染物排放标准》（GB18918-2002）一级A标准，不对周边地表水排放。废水排放量及设施情况信息可见表4.3-2~4.3-5。</w:t>
            </w:r>
          </w:p>
          <w:p>
            <w:pPr>
              <w:jc w:val="center"/>
              <w:rPr>
                <w:b/>
                <w:bCs/>
              </w:rPr>
            </w:pPr>
            <w:r>
              <w:rPr>
                <w:b/>
                <w:bCs/>
              </w:rPr>
              <w:t>表</w:t>
            </w:r>
            <w:r>
              <w:rPr>
                <w:rFonts w:hint="eastAsia"/>
                <w:b/>
                <w:bCs/>
              </w:rPr>
              <w:t>4.3-2  本项目</w:t>
            </w:r>
            <w:r>
              <w:rPr>
                <w:b/>
                <w:bCs/>
              </w:rPr>
              <w:t>废水类别、污染物及污染治理设施信息表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
              <w:gridCol w:w="514"/>
              <w:gridCol w:w="834"/>
              <w:gridCol w:w="459"/>
              <w:gridCol w:w="927"/>
              <w:gridCol w:w="908"/>
              <w:gridCol w:w="569"/>
              <w:gridCol w:w="888"/>
              <w:gridCol w:w="928"/>
              <w:gridCol w:w="631"/>
              <w:gridCol w:w="405"/>
              <w:gridCol w:w="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序号</w:t>
                  </w:r>
                </w:p>
              </w:tc>
              <w:tc>
                <w:tcPr>
                  <w:tcW w:w="32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废水类别</w:t>
                  </w:r>
                </w:p>
              </w:tc>
              <w:tc>
                <w:tcPr>
                  <w:tcW w:w="52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污染物种类</w:t>
                  </w:r>
                </w:p>
              </w:tc>
              <w:tc>
                <w:tcPr>
                  <w:tcW w:w="29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排水去向</w:t>
                  </w:r>
                </w:p>
              </w:tc>
              <w:tc>
                <w:tcPr>
                  <w:tcW w:w="58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排放规律</w:t>
                  </w:r>
                </w:p>
              </w:tc>
              <w:tc>
                <w:tcPr>
                  <w:tcW w:w="1500"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污染治理设施</w:t>
                  </w:r>
                </w:p>
              </w:tc>
              <w:tc>
                <w:tcPr>
                  <w:tcW w:w="58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排放口编号</w:t>
                  </w:r>
                </w:p>
              </w:tc>
              <w:tc>
                <w:tcPr>
                  <w:tcW w:w="40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排放口设置是否符合要求</w:t>
                  </w:r>
                </w:p>
              </w:tc>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sz w:val="18"/>
                      <w:szCs w:val="18"/>
                    </w:rPr>
                  </w:pPr>
                  <w:r>
                    <w:rPr>
                      <w:rFonts w:hint="eastAsia"/>
                      <w:sz w:val="18"/>
                      <w:szCs w:val="18"/>
                    </w:rPr>
                    <w:t>排放方式</w:t>
                  </w:r>
                </w:p>
              </w:tc>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sz w:val="18"/>
                      <w:szCs w:val="18"/>
                    </w:rPr>
                  </w:pPr>
                  <w:r>
                    <w:rPr>
                      <w:sz w:val="18"/>
                      <w:szCs w:val="18"/>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32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2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5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污染治理设施编号</w:t>
                  </w:r>
                </w:p>
              </w:tc>
              <w:tc>
                <w:tcPr>
                  <w:tcW w:w="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污染治理设施名称</w:t>
                  </w:r>
                </w:p>
              </w:tc>
              <w:tc>
                <w:tcPr>
                  <w:tcW w:w="5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污染治理设施工艺</w:t>
                  </w:r>
                </w:p>
              </w:tc>
              <w:tc>
                <w:tcPr>
                  <w:tcW w:w="58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40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1</w:t>
                  </w:r>
                </w:p>
              </w:tc>
              <w:tc>
                <w:tcPr>
                  <w:tcW w:w="3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生活污水</w:t>
                  </w:r>
                </w:p>
              </w:tc>
              <w:tc>
                <w:tcPr>
                  <w:tcW w:w="5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COD</w:t>
                  </w:r>
                  <w:r>
                    <w:rPr>
                      <w:sz w:val="18"/>
                      <w:szCs w:val="18"/>
                      <w:vertAlign w:val="subscript"/>
                    </w:rPr>
                    <w:t>cr、</w:t>
                  </w:r>
                  <w:r>
                    <w:rPr>
                      <w:sz w:val="18"/>
                      <w:szCs w:val="18"/>
                    </w:rPr>
                    <w:t>NH</w:t>
                  </w:r>
                  <w:r>
                    <w:rPr>
                      <w:sz w:val="18"/>
                      <w:szCs w:val="18"/>
                      <w:vertAlign w:val="subscript"/>
                    </w:rPr>
                    <w:t>3</w:t>
                  </w:r>
                  <w:r>
                    <w:rPr>
                      <w:sz w:val="18"/>
                      <w:szCs w:val="18"/>
                    </w:rPr>
                    <w:t>-N</w:t>
                  </w:r>
                </w:p>
              </w:tc>
              <w:tc>
                <w:tcPr>
                  <w:tcW w:w="291"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进入城市污水处理厂</w:t>
                  </w:r>
                </w:p>
              </w:tc>
              <w:tc>
                <w:tcPr>
                  <w:tcW w:w="588"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间断排放，排放期间流量不稳定且无规律，但不属于冲击型排放</w:t>
                  </w:r>
                </w:p>
              </w:tc>
              <w:tc>
                <w:tcPr>
                  <w:tcW w:w="5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18"/>
                      <w:szCs w:val="18"/>
                      <w:lang w:eastAsia="zh-CN"/>
                    </w:rPr>
                  </w:pPr>
                  <w:r>
                    <w:rPr>
                      <w:sz w:val="18"/>
                      <w:szCs w:val="18"/>
                    </w:rPr>
                    <w:t>T-W-00</w:t>
                  </w:r>
                  <w:r>
                    <w:rPr>
                      <w:rFonts w:hint="eastAsia"/>
                      <w:sz w:val="18"/>
                      <w:szCs w:val="18"/>
                      <w:lang w:val="en-US" w:eastAsia="zh-CN"/>
                    </w:rPr>
                    <w:t>2</w:t>
                  </w:r>
                </w:p>
              </w:tc>
              <w:tc>
                <w:tcPr>
                  <w:tcW w:w="3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废水处理设施</w:t>
                  </w:r>
                </w:p>
              </w:tc>
              <w:tc>
                <w:tcPr>
                  <w:tcW w:w="5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“格栅+调节+气浮”预处理后进综合调节池，经“厌氧+A/O+二沉池”处理后达标排放</w:t>
                  </w:r>
                </w:p>
              </w:tc>
              <w:tc>
                <w:tcPr>
                  <w:tcW w:w="589"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D-W-001</w:t>
                  </w:r>
                </w:p>
              </w:tc>
              <w:tc>
                <w:tcPr>
                  <w:tcW w:w="400"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sym w:font="Wingdings 2" w:char="0052"/>
                  </w:r>
                  <w:r>
                    <w:rPr>
                      <w:sz w:val="18"/>
                      <w:szCs w:val="18"/>
                    </w:rPr>
                    <w:t>是</w:t>
                  </w:r>
                </w:p>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sym w:font="Wingdings 2" w:char="00A3"/>
                  </w:r>
                  <w:r>
                    <w:rPr>
                      <w:sz w:val="18"/>
                      <w:szCs w:val="18"/>
                    </w:rPr>
                    <w:t>否</w:t>
                  </w:r>
                </w:p>
              </w:tc>
              <w:tc>
                <w:tcPr>
                  <w:tcW w:w="257"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间接排放</w:t>
                  </w:r>
                </w:p>
              </w:tc>
              <w:tc>
                <w:tcPr>
                  <w:tcW w:w="257" w:type="pc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一般排放口</w:t>
                  </w:r>
                  <w:r>
                    <w:rPr>
                      <w:sz w:val="18"/>
                      <w:szCs w:val="18"/>
                    </w:rPr>
                    <w:sym w:font="Times New Roman" w:char="F052"/>
                  </w:r>
                </w:p>
              </w:tc>
            </w:tr>
          </w:tbl>
          <w:p>
            <w:pPr>
              <w:jc w:val="center"/>
              <w:rPr>
                <w:b/>
                <w:bCs/>
              </w:rPr>
            </w:pPr>
            <w:r>
              <w:rPr>
                <w:b/>
                <w:bCs/>
              </w:rPr>
              <w:t>表</w:t>
            </w:r>
            <w:r>
              <w:rPr>
                <w:rFonts w:hint="eastAsia"/>
                <w:b/>
                <w:bCs/>
              </w:rPr>
              <w:t>4.3-3  本项目</w:t>
            </w:r>
            <w:r>
              <w:rPr>
                <w:b/>
                <w:bCs/>
              </w:rPr>
              <w:t>废水间接排放口基本情况表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906"/>
              <w:gridCol w:w="1251"/>
              <w:gridCol w:w="1161"/>
              <w:gridCol w:w="711"/>
              <w:gridCol w:w="396"/>
              <w:gridCol w:w="862"/>
              <w:gridCol w:w="561"/>
              <w:gridCol w:w="724"/>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序号</w:t>
                  </w:r>
                </w:p>
              </w:tc>
              <w:tc>
                <w:tcPr>
                  <w:tcW w:w="52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排放口编号</w:t>
                  </w:r>
                </w:p>
              </w:tc>
              <w:tc>
                <w:tcPr>
                  <w:tcW w:w="1420"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排放口地理坐标</w:t>
                  </w:r>
                </w:p>
              </w:tc>
              <w:tc>
                <w:tcPr>
                  <w:tcW w:w="47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废水排放量</w:t>
                  </w:r>
                </w:p>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(万t/a)</w:t>
                  </w:r>
                </w:p>
              </w:tc>
              <w:tc>
                <w:tcPr>
                  <w:tcW w:w="31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排放去向</w:t>
                  </w:r>
                </w:p>
              </w:tc>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排放规律</w:t>
                  </w:r>
                </w:p>
              </w:tc>
              <w:tc>
                <w:tcPr>
                  <w:tcW w:w="1439"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受纳污水处理厂信息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52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7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经度</w:t>
                  </w:r>
                </w:p>
              </w:tc>
              <w:tc>
                <w:tcPr>
                  <w:tcW w:w="6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纬度</w:t>
                  </w: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31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3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名称</w:t>
                  </w:r>
                </w:p>
              </w:tc>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污染物种类</w:t>
                  </w:r>
                </w:p>
              </w:tc>
              <w:tc>
                <w:tcPr>
                  <w:tcW w:w="6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污染物排放标准浓度限值(mg/L)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3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1</w:t>
                  </w:r>
                </w:p>
              </w:tc>
              <w:tc>
                <w:tcPr>
                  <w:tcW w:w="52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D-W-001</w:t>
                  </w:r>
                </w:p>
              </w:tc>
              <w:tc>
                <w:tcPr>
                  <w:tcW w:w="73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ascii="Times New Roman" w:hAnsi="Times New Roman" w:eastAsia="宋体"/>
                      <w:sz w:val="18"/>
                      <w:szCs w:val="18"/>
                    </w:rPr>
                  </w:pPr>
                  <w:r>
                    <w:rPr>
                      <w:rFonts w:hint="eastAsia" w:ascii="Times New Roman" w:hAnsi="Times New Roman" w:eastAsia="宋体"/>
                      <w:sz w:val="18"/>
                      <w:szCs w:val="18"/>
                    </w:rPr>
                    <w:t>120.758976°</w:t>
                  </w:r>
                </w:p>
              </w:tc>
              <w:tc>
                <w:tcPr>
                  <w:tcW w:w="68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hint="eastAsia" w:ascii="Times New Roman" w:hAnsi="Times New Roman" w:eastAsia="宋体"/>
                      <w:sz w:val="18"/>
                      <w:szCs w:val="18"/>
                    </w:rPr>
                    <w:t>30.323830°</w:t>
                  </w:r>
                </w:p>
              </w:tc>
              <w:tc>
                <w:tcPr>
                  <w:tcW w:w="471"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eastAsia="宋体"/>
                      <w:sz w:val="18"/>
                      <w:szCs w:val="18"/>
                      <w:lang w:val="en-US" w:eastAsia="zh-CN"/>
                    </w:rPr>
                  </w:pPr>
                  <w:r>
                    <w:rPr>
                      <w:rFonts w:hint="eastAsia"/>
                      <w:sz w:val="18"/>
                      <w:szCs w:val="18"/>
                      <w:lang w:val="en-US" w:eastAsia="zh-CN"/>
                    </w:rPr>
                    <w:t>0.4161</w:t>
                  </w:r>
                </w:p>
              </w:tc>
              <w:tc>
                <w:tcPr>
                  <w:tcW w:w="31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进入城市污水处理厂</w:t>
                  </w:r>
                </w:p>
              </w:tc>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间断排放，排放期间流量不稳定且无规律，但不属于冲击型排放</w:t>
                  </w:r>
                </w:p>
              </w:tc>
              <w:tc>
                <w:tcPr>
                  <w:tcW w:w="39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hint="eastAsia" w:ascii="Times New Roman" w:hAnsi="Times New Roman" w:eastAsia="宋体"/>
                      <w:sz w:val="18"/>
                      <w:szCs w:val="18"/>
                    </w:rPr>
                    <w:t>海宁市尖山污水处理厂</w:t>
                  </w:r>
                </w:p>
              </w:tc>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COD</w:t>
                  </w:r>
                  <w:r>
                    <w:rPr>
                      <w:rFonts w:ascii="Times New Roman" w:hAnsi="Times New Roman" w:eastAsia="宋体"/>
                      <w:sz w:val="18"/>
                      <w:szCs w:val="18"/>
                      <w:vertAlign w:val="subscript"/>
                    </w:rPr>
                    <w:t>Cr</w:t>
                  </w:r>
                </w:p>
              </w:tc>
              <w:tc>
                <w:tcPr>
                  <w:tcW w:w="6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hint="eastAsia" w:ascii="Times New Roman" w:hAnsi="Times New Roman" w:eastAsia="宋体"/>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33"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527"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736"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683"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471"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317"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590"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399"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p>
              </w:tc>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sz w:val="18"/>
                      <w:szCs w:val="18"/>
                    </w:rPr>
                  </w:pPr>
                  <w:r>
                    <w:rPr>
                      <w:rFonts w:ascii="Times New Roman" w:hAnsi="Times New Roman" w:eastAsia="宋体"/>
                      <w:sz w:val="18"/>
                      <w:szCs w:val="18"/>
                    </w:rPr>
                    <w:t>NH</w:t>
                  </w:r>
                  <w:r>
                    <w:rPr>
                      <w:rFonts w:ascii="Times New Roman" w:hAnsi="Times New Roman" w:eastAsia="宋体"/>
                      <w:sz w:val="18"/>
                      <w:szCs w:val="18"/>
                      <w:vertAlign w:val="subscript"/>
                    </w:rPr>
                    <w:t>3</w:t>
                  </w:r>
                  <w:r>
                    <w:rPr>
                      <w:rFonts w:ascii="Times New Roman" w:hAnsi="Times New Roman" w:eastAsia="宋体"/>
                      <w:sz w:val="18"/>
                      <w:szCs w:val="18"/>
                    </w:rPr>
                    <w:t>-N</w:t>
                  </w:r>
                </w:p>
              </w:tc>
              <w:tc>
                <w:tcPr>
                  <w:tcW w:w="6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ascii="Times New Roman" w:hAnsi="Times New Roman" w:eastAsia="宋体"/>
                      <w:sz w:val="18"/>
                      <w:szCs w:val="18"/>
                    </w:rPr>
                  </w:pPr>
                  <w:r>
                    <w:rPr>
                      <w:rFonts w:hint="eastAsia" w:ascii="Times New Roman" w:hAnsi="Times New Roman" w:eastAsia="宋体"/>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000" w:type="pct"/>
                  <w:gridSpan w:val="10"/>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ascii="Times New Roman" w:hAnsi="Times New Roman" w:eastAsia="宋体"/>
                      <w:sz w:val="18"/>
                      <w:szCs w:val="18"/>
                    </w:rPr>
                  </w:pPr>
                  <w:r>
                    <w:rPr>
                      <w:rFonts w:hint="eastAsia" w:ascii="Times New Roman" w:hAnsi="Times New Roman" w:eastAsia="宋体"/>
                      <w:sz w:val="18"/>
                      <w:szCs w:val="18"/>
                    </w:rPr>
                    <w:t>注*：括号内数值为每年11月1日至次年3月31日执行。</w:t>
                  </w:r>
                </w:p>
              </w:tc>
            </w:tr>
          </w:tbl>
          <w:p>
            <w:pPr>
              <w:adjustRightInd w:val="0"/>
              <w:snapToGrid w:val="0"/>
              <w:jc w:val="center"/>
              <w:rPr>
                <w:b/>
                <w:bCs/>
                <w:szCs w:val="21"/>
              </w:rPr>
            </w:pPr>
            <w:r>
              <w:rPr>
                <w:b/>
                <w:bCs/>
                <w:szCs w:val="21"/>
              </w:rPr>
              <w:t>表4</w:t>
            </w:r>
            <w:r>
              <w:rPr>
                <w:rFonts w:hint="eastAsia"/>
                <w:b/>
                <w:bCs/>
                <w:szCs w:val="21"/>
              </w:rPr>
              <w:t>.</w:t>
            </w:r>
            <w:r>
              <w:rPr>
                <w:rFonts w:hint="eastAsia"/>
                <w:b/>
                <w:bCs/>
                <w:szCs w:val="21"/>
                <w:lang w:val="en-US" w:eastAsia="zh-CN"/>
              </w:rPr>
              <w:t>3</w:t>
            </w:r>
            <w:r>
              <w:rPr>
                <w:b/>
                <w:bCs/>
                <w:szCs w:val="21"/>
              </w:rPr>
              <w:t>-</w:t>
            </w:r>
            <w:r>
              <w:rPr>
                <w:rFonts w:hint="eastAsia"/>
                <w:b/>
                <w:bCs/>
                <w:szCs w:val="21"/>
              </w:rPr>
              <w:t>4</w:t>
            </w:r>
            <w:r>
              <w:rPr>
                <w:b/>
                <w:bCs/>
                <w:szCs w:val="21"/>
              </w:rPr>
              <w:t xml:space="preserve">  废水污染物排放执行标准表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209"/>
              <w:gridCol w:w="3785"/>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排放口编号</w:t>
                  </w:r>
                </w:p>
              </w:tc>
              <w:tc>
                <w:tcPr>
                  <w:tcW w:w="120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污染物种类</w:t>
                  </w:r>
                </w:p>
              </w:tc>
              <w:tc>
                <w:tcPr>
                  <w:tcW w:w="522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国家或地方污染物排放标准及其他按规定商定的排放协议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120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37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名称</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浓度限值(mg/L)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D</w:t>
                  </w:r>
                  <w:r>
                    <w:rPr>
                      <w:rFonts w:hint="eastAsia"/>
                      <w:sz w:val="18"/>
                      <w:szCs w:val="18"/>
                    </w:rPr>
                    <w:t>-</w:t>
                  </w:r>
                  <w:r>
                    <w:rPr>
                      <w:sz w:val="18"/>
                      <w:szCs w:val="18"/>
                    </w:rPr>
                    <w:t>W-001</w:t>
                  </w:r>
                </w:p>
              </w:tc>
              <w:tc>
                <w:tcPr>
                  <w:tcW w:w="12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COD</w:t>
                  </w:r>
                  <w:r>
                    <w:rPr>
                      <w:sz w:val="18"/>
                      <w:szCs w:val="18"/>
                      <w:vertAlign w:val="subscript"/>
                    </w:rPr>
                    <w:t>cr</w:t>
                  </w:r>
                </w:p>
              </w:tc>
              <w:tc>
                <w:tcPr>
                  <w:tcW w:w="378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rFonts w:hint="eastAsia"/>
                      <w:sz w:val="18"/>
                      <w:szCs w:val="18"/>
                    </w:rPr>
                    <w:t>《电池工业污染物排放标准》(GB30484-2013)</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24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sz w:val="18"/>
                      <w:szCs w:val="18"/>
                    </w:rPr>
                  </w:pPr>
                  <w:r>
                    <w:rPr>
                      <w:sz w:val="18"/>
                      <w:szCs w:val="18"/>
                    </w:rPr>
                    <w:t>NH</w:t>
                  </w:r>
                  <w:r>
                    <w:rPr>
                      <w:sz w:val="18"/>
                      <w:szCs w:val="18"/>
                      <w:vertAlign w:val="subscript"/>
                    </w:rPr>
                    <w:t>3</w:t>
                  </w:r>
                  <w:r>
                    <w:rPr>
                      <w:sz w:val="18"/>
                      <w:szCs w:val="18"/>
                    </w:rPr>
                    <w:t>-N</w:t>
                  </w:r>
                </w:p>
              </w:tc>
              <w:tc>
                <w:tcPr>
                  <w:tcW w:w="3785"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sz w:val="18"/>
                      <w:szCs w:val="18"/>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eastAsia="宋体"/>
                      <w:sz w:val="18"/>
                      <w:szCs w:val="18"/>
                      <w:lang w:eastAsia="zh-CN"/>
                    </w:rPr>
                  </w:pPr>
                  <w:r>
                    <w:rPr>
                      <w:rFonts w:hint="eastAsia"/>
                      <w:sz w:val="18"/>
                      <w:szCs w:val="18"/>
                    </w:rPr>
                    <w:t>3</w:t>
                  </w:r>
                  <w:r>
                    <w:rPr>
                      <w:rFonts w:hint="eastAsia"/>
                      <w:sz w:val="18"/>
                      <w:szCs w:val="18"/>
                      <w:lang w:val="en-US" w:eastAsia="zh-CN"/>
                    </w:rPr>
                    <w:t>0</w:t>
                  </w:r>
                </w:p>
              </w:tc>
            </w:tr>
          </w:tbl>
          <w:p>
            <w:pPr>
              <w:jc w:val="center"/>
              <w:rPr>
                <w:b/>
                <w:bCs/>
              </w:rPr>
            </w:pPr>
          </w:p>
          <w:p>
            <w:pPr>
              <w:jc w:val="center"/>
              <w:rPr>
                <w:b/>
                <w:bCs/>
              </w:rPr>
            </w:pPr>
          </w:p>
          <w:p>
            <w:pPr>
              <w:jc w:val="center"/>
              <w:rPr>
                <w:b/>
                <w:bCs/>
              </w:rPr>
            </w:pPr>
            <w:r>
              <w:rPr>
                <w:b/>
                <w:bCs/>
              </w:rPr>
              <w:t>表</w:t>
            </w:r>
            <w:r>
              <w:rPr>
                <w:rFonts w:hint="eastAsia"/>
                <w:b/>
                <w:bCs/>
              </w:rPr>
              <w:t xml:space="preserve">4.3-5  </w:t>
            </w:r>
            <w:r>
              <w:rPr>
                <w:b/>
                <w:bCs/>
              </w:rPr>
              <w:t>废水污染物排放信息表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1026"/>
              <w:gridCol w:w="1117"/>
              <w:gridCol w:w="1107"/>
              <w:gridCol w:w="1052"/>
              <w:gridCol w:w="1052"/>
              <w:gridCol w:w="978"/>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序号</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排放口编号</w:t>
                  </w:r>
                </w:p>
              </w:tc>
              <w:tc>
                <w:tcPr>
                  <w:tcW w:w="1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污染物种类</w:t>
                  </w:r>
                </w:p>
              </w:tc>
              <w:tc>
                <w:tcPr>
                  <w:tcW w:w="11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排放浓度(mg/L)</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新增日排放量</w:t>
                  </w:r>
                  <w:r>
                    <w:rPr>
                      <w:rFonts w:hint="eastAsia"/>
                      <w:sz w:val="18"/>
                      <w:szCs w:val="18"/>
                    </w:rPr>
                    <w:t>(kg/d)</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全厂日排放量/(kg/d)</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新增年排放量t/a</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全厂年排</w:t>
                  </w:r>
                </w:p>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1</w:t>
                  </w:r>
                </w:p>
              </w:tc>
              <w:tc>
                <w:tcPr>
                  <w:tcW w:w="102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D-W-001</w:t>
                  </w:r>
                </w:p>
              </w:tc>
              <w:tc>
                <w:tcPr>
                  <w:tcW w:w="1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COD</w:t>
                  </w:r>
                  <w:r>
                    <w:rPr>
                      <w:sz w:val="18"/>
                      <w:szCs w:val="18"/>
                      <w:vertAlign w:val="subscript"/>
                    </w:rPr>
                    <w:t>cr</w:t>
                  </w:r>
                </w:p>
              </w:tc>
              <w:tc>
                <w:tcPr>
                  <w:tcW w:w="11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150</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1.891</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55.497</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eastAsia="宋体"/>
                      <w:kern w:val="0"/>
                      <w:sz w:val="18"/>
                      <w:szCs w:val="18"/>
                      <w:lang w:val="en-US" w:eastAsia="zh-CN"/>
                    </w:rPr>
                  </w:pPr>
                  <w:r>
                    <w:rPr>
                      <w:rFonts w:hint="eastAsia"/>
                      <w:kern w:val="0"/>
                      <w:sz w:val="18"/>
                      <w:szCs w:val="18"/>
                      <w:lang w:val="en-US" w:eastAsia="zh-CN"/>
                    </w:rPr>
                    <w:t>0.624</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kern w:val="0"/>
                      <w:sz w:val="18"/>
                      <w:szCs w:val="18"/>
                      <w:lang w:val="en-US" w:eastAsia="zh-CN"/>
                    </w:rPr>
                  </w:pPr>
                  <w:r>
                    <w:rPr>
                      <w:rFonts w:hint="eastAsia"/>
                      <w:kern w:val="0"/>
                      <w:sz w:val="18"/>
                      <w:szCs w:val="18"/>
                      <w:lang w:val="en-US" w:eastAsia="zh-CN"/>
                    </w:rPr>
                    <w:t>18.314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rFonts w:hint="eastAsia"/>
                      <w:sz w:val="18"/>
                      <w:szCs w:val="18"/>
                    </w:rPr>
                  </w:pPr>
                  <w:r>
                    <w:rPr>
                      <w:rFonts w:hint="eastAsia"/>
                      <w:sz w:val="18"/>
                      <w:szCs w:val="18"/>
                    </w:rPr>
                    <w:t>5</w:t>
                  </w:r>
                </w:p>
              </w:tc>
              <w:tc>
                <w:tcPr>
                  <w:tcW w:w="102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auto"/>
                    <w:rPr>
                      <w:sz w:val="18"/>
                      <w:szCs w:val="18"/>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NH</w:t>
                  </w:r>
                  <w:r>
                    <w:rPr>
                      <w:sz w:val="18"/>
                      <w:szCs w:val="18"/>
                      <w:vertAlign w:val="subscript"/>
                    </w:rPr>
                    <w:t>3</w:t>
                  </w:r>
                  <w:r>
                    <w:rPr>
                      <w:sz w:val="18"/>
                      <w:szCs w:val="18"/>
                    </w:rPr>
                    <w:t>-N</w:t>
                  </w:r>
                </w:p>
              </w:tc>
              <w:tc>
                <w:tcPr>
                  <w:tcW w:w="11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30</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0.379</w:t>
                  </w:r>
                </w:p>
              </w:tc>
              <w:tc>
                <w:tcPr>
                  <w:tcW w:w="1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sz w:val="18"/>
                      <w:szCs w:val="18"/>
                      <w:lang w:val="en-US"/>
                    </w:rPr>
                  </w:pPr>
                  <w:r>
                    <w:rPr>
                      <w:rFonts w:hint="eastAsia"/>
                      <w:sz w:val="18"/>
                      <w:szCs w:val="18"/>
                      <w:lang w:val="en-US" w:eastAsia="zh-CN"/>
                    </w:rPr>
                    <w:t>11.100</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0.125</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default"/>
                      <w:sz w:val="18"/>
                      <w:szCs w:val="18"/>
                      <w:lang w:val="en-US" w:eastAsia="zh-CN"/>
                    </w:rPr>
                  </w:pPr>
                  <w:r>
                    <w:rPr>
                      <w:rFonts w:hint="eastAsia"/>
                      <w:sz w:val="18"/>
                      <w:szCs w:val="18"/>
                      <w:lang w:val="en-US" w:eastAsia="zh-CN"/>
                    </w:rPr>
                    <w:t>3.663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89"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sz w:val="18"/>
                      <w:szCs w:val="18"/>
                    </w:rPr>
                    <w:t>排放口合计</w:t>
                  </w:r>
                </w:p>
              </w:tc>
              <w:tc>
                <w:tcPr>
                  <w:tcW w:w="530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kern w:val="0"/>
                      <w:sz w:val="18"/>
                      <w:szCs w:val="18"/>
                    </w:rPr>
                  </w:pPr>
                  <w:r>
                    <w:rPr>
                      <w:sz w:val="18"/>
                      <w:szCs w:val="18"/>
                    </w:rPr>
                    <w:t>COD</w:t>
                  </w:r>
                  <w:r>
                    <w:rPr>
                      <w:sz w:val="18"/>
                      <w:szCs w:val="18"/>
                      <w:vertAlign w:val="subscript"/>
                    </w:rPr>
                    <w:t>cr</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ascii="Times New Roman" w:hAnsi="Times New Roman" w:eastAsia="宋体" w:cstheme="minorBidi"/>
                      <w:color w:val="000000"/>
                      <w:kern w:val="0"/>
                      <w:sz w:val="18"/>
                      <w:szCs w:val="18"/>
                      <w:lang w:val="en-US" w:eastAsia="zh-CN" w:bidi="ar-SA"/>
                    </w:rPr>
                  </w:pPr>
                  <w:r>
                    <w:rPr>
                      <w:rFonts w:hint="eastAsia"/>
                      <w:kern w:val="0"/>
                      <w:sz w:val="18"/>
                      <w:szCs w:val="18"/>
                      <w:lang w:val="en-US" w:eastAsia="zh-CN"/>
                    </w:rPr>
                    <w:t>18.314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89" w:type="dxa"/>
                  <w:gridSpan w:val="2"/>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pPr>
                </w:p>
              </w:tc>
              <w:tc>
                <w:tcPr>
                  <w:tcW w:w="530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sz w:val="18"/>
                      <w:szCs w:val="18"/>
                    </w:rPr>
                  </w:pPr>
                  <w:r>
                    <w:rPr>
                      <w:sz w:val="18"/>
                      <w:szCs w:val="18"/>
                    </w:rPr>
                    <w:t>NH</w:t>
                  </w:r>
                  <w:r>
                    <w:rPr>
                      <w:sz w:val="18"/>
                      <w:szCs w:val="18"/>
                      <w:vertAlign w:val="subscript"/>
                    </w:rPr>
                    <w:t>3</w:t>
                  </w:r>
                  <w:r>
                    <w:rPr>
                      <w:sz w:val="18"/>
                      <w:szCs w:val="18"/>
                    </w:rPr>
                    <w:t>-N</w:t>
                  </w:r>
                </w:p>
              </w:tc>
              <w:tc>
                <w:tcPr>
                  <w:tcW w:w="9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240" w:lineRule="auto"/>
                    <w:ind w:firstLine="0" w:firstLineChars="0"/>
                    <w:jc w:val="center"/>
                    <w:textAlignment w:val="auto"/>
                    <w:rPr>
                      <w:rFonts w:hint="eastAsia" w:ascii="Times New Roman" w:hAnsi="Times New Roman" w:eastAsia="宋体" w:cstheme="minorBidi"/>
                      <w:color w:val="000000"/>
                      <w:sz w:val="18"/>
                      <w:szCs w:val="18"/>
                      <w:lang w:val="en-US" w:eastAsia="zh-CN" w:bidi="ar-SA"/>
                    </w:rPr>
                  </w:pPr>
                  <w:r>
                    <w:rPr>
                      <w:rFonts w:hint="eastAsia"/>
                      <w:sz w:val="18"/>
                      <w:szCs w:val="18"/>
                      <w:lang w:val="en-US" w:eastAsia="zh-CN"/>
                    </w:rPr>
                    <w:t>3.663</w:t>
                  </w:r>
                </w:p>
              </w:tc>
            </w:tr>
          </w:tbl>
          <w:p>
            <w:pPr>
              <w:snapToGrid w:val="0"/>
              <w:ind w:firstLine="180" w:firstLineChars="100"/>
              <w:jc w:val="left"/>
            </w:pPr>
            <w:r>
              <w:rPr>
                <w:bCs/>
                <w:sz w:val="18"/>
                <w:szCs w:val="18"/>
              </w:rPr>
              <w:t>注：排放浓度以纳管排放标准计算。</w:t>
            </w:r>
          </w:p>
          <w:p>
            <w:pPr>
              <w:pStyle w:val="6"/>
              <w:bidi w:val="0"/>
              <w:rPr>
                <w:rFonts w:hint="eastAsia"/>
                <w:lang w:eastAsia="zh-CN"/>
              </w:rPr>
            </w:pPr>
            <w:r>
              <w:rPr>
                <w:rFonts w:hint="eastAsia"/>
                <w:lang w:eastAsia="zh-CN"/>
              </w:rPr>
              <w:t>4.3.3水环境影响分析</w:t>
            </w:r>
          </w:p>
          <w:p>
            <w:pPr>
              <w:bidi w:val="0"/>
              <w:rPr>
                <w:rFonts w:hint="eastAsia"/>
                <w:lang w:eastAsia="zh-CN"/>
              </w:rPr>
            </w:pPr>
            <w:r>
              <w:rPr>
                <w:rFonts w:hint="eastAsia"/>
                <w:lang w:eastAsia="zh-CN"/>
              </w:rPr>
              <w:t>本项目所在区域污水管网已接通，因此要求企业废水严格按照环评要求的处理方法，生产废水和生活污水经污水站预处理达到《电池工业污染物排放标准》(GB30484- 2013)中的表2新建企业水污染物间接排放限值后纳入市政污水管网，最终经海宁市尖山污水处理厂处理，其中化学需氧量、氨氮、总氮、总磷等指标达到《城镇污水处理厂主要水污染物排放标准》（DB33/2169-2018）表1中的排放限值后排海，其余指标执行《城镇污水处理厂污染物排放标准》（GB18918-2002）一级A标准，不对周边地表水排放。因此，本项目产生的废水经纳管排放后对周围水体水质基本无影响。</w:t>
            </w:r>
          </w:p>
          <w:p>
            <w:pPr>
              <w:bidi w:val="0"/>
              <w:rPr>
                <w:rFonts w:hint="eastAsia"/>
                <w:lang w:eastAsia="zh-CN"/>
              </w:rPr>
            </w:pPr>
            <w:r>
              <w:rPr>
                <w:rFonts w:hint="eastAsia"/>
                <w:lang w:eastAsia="zh-CN"/>
              </w:rPr>
              <w:t>综上，项目废水在纳管的前提下，不会对周围水环境造成污染影响。</w:t>
            </w:r>
          </w:p>
          <w:p>
            <w:pPr>
              <w:pStyle w:val="6"/>
              <w:bidi w:val="0"/>
              <w:rPr>
                <w:rFonts w:hint="eastAsia"/>
                <w:lang w:eastAsia="zh-CN"/>
              </w:rPr>
            </w:pPr>
            <w:r>
              <w:rPr>
                <w:rFonts w:hint="eastAsia"/>
                <w:lang w:eastAsia="zh-CN"/>
              </w:rPr>
              <w:t>4.3.4废水监测计划</w:t>
            </w:r>
          </w:p>
          <w:p>
            <w:pPr>
              <w:bidi w:val="0"/>
              <w:rPr>
                <w:rFonts w:hint="default"/>
                <w:lang w:val="en-US" w:eastAsia="zh-CN"/>
              </w:rPr>
            </w:pPr>
            <w:r>
              <w:rPr>
                <w:rFonts w:hint="eastAsia"/>
                <w:lang w:val="en-US" w:eastAsia="zh-CN"/>
              </w:rPr>
              <w:t>污水总排口监测计划按照现有项目监测计划执行，具体监测计划如下：</w:t>
            </w:r>
          </w:p>
          <w:p>
            <w:pPr>
              <w:bidi w:val="0"/>
              <w:ind w:left="0" w:leftChars="0" w:firstLine="0" w:firstLineChars="0"/>
              <w:jc w:val="center"/>
              <w:rPr>
                <w:rFonts w:hint="eastAsia"/>
                <w:b/>
                <w:bCs/>
                <w:lang w:eastAsia="zh-CN"/>
              </w:rPr>
            </w:pPr>
            <w:r>
              <w:rPr>
                <w:rFonts w:hint="eastAsia"/>
                <w:b/>
                <w:bCs/>
                <w:lang w:eastAsia="zh-CN"/>
              </w:rPr>
              <w:t>表4.3-6  废水环境监测计划一览表</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11"/>
              <w:gridCol w:w="1601"/>
              <w:gridCol w:w="2991"/>
              <w:gridCol w:w="116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18"/>
                      <w:szCs w:val="18"/>
                      <w:lang w:val="en-US" w:eastAsia="zh-CN"/>
                    </w:rPr>
                  </w:pPr>
                  <w:r>
                    <w:rPr>
                      <w:rFonts w:hint="eastAsia"/>
                      <w:sz w:val="18"/>
                      <w:szCs w:val="18"/>
                      <w:lang w:val="en-US" w:eastAsia="zh-CN"/>
                    </w:rPr>
                    <w:t>排放口编号</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监测点位</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检测项目</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18"/>
                      <w:szCs w:val="18"/>
                      <w:lang w:val="en-US" w:eastAsia="zh-CN"/>
                    </w:rPr>
                  </w:pPr>
                  <w:r>
                    <w:rPr>
                      <w:rFonts w:hint="eastAsia"/>
                      <w:sz w:val="18"/>
                      <w:szCs w:val="18"/>
                      <w:lang w:val="en-US" w:eastAsia="zh-CN"/>
                    </w:rPr>
                    <w:t>检测频次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DW001</w:t>
                  </w:r>
                </w:p>
              </w:tc>
              <w:tc>
                <w:tcPr>
                  <w:tcW w:w="0" w:type="auto"/>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生产废水排放口</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流量、pH 值、COD、SS、氨氮</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18"/>
                      <w:szCs w:val="18"/>
                    </w:rPr>
                  </w:pPr>
                  <w:r>
                    <w:rPr>
                      <w:rFonts w:hint="eastAsia"/>
                      <w:sz w:val="18"/>
                      <w:szCs w:val="18"/>
                    </w:rPr>
                    <w:t>1 次/半年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p>
              </w:tc>
              <w:tc>
                <w:tcPr>
                  <w:tcW w:w="0" w:type="auto"/>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TN、TP</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1 次/月①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p>
              </w:tc>
              <w:tc>
                <w:tcPr>
                  <w:tcW w:w="0" w:type="auto"/>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BOD</w:t>
                  </w:r>
                  <w:r>
                    <w:rPr>
                      <w:rFonts w:hint="eastAsia"/>
                      <w:sz w:val="18"/>
                      <w:szCs w:val="18"/>
                      <w:vertAlign w:val="subscript"/>
                    </w:rPr>
                    <w:t>5</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1 次/年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YS001~YS005</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雨水排放口</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pH 值</w:t>
                  </w:r>
                </w:p>
              </w:tc>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18"/>
                      <w:szCs w:val="18"/>
                    </w:rPr>
                  </w:pPr>
                  <w:r>
                    <w:rPr>
                      <w:rFonts w:hint="eastAsia"/>
                      <w:sz w:val="18"/>
                      <w:szCs w:val="18"/>
                    </w:rPr>
                    <w:t>1 次/月②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0" w:type="auto"/>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sz w:val="18"/>
                      <w:szCs w:val="18"/>
                    </w:rPr>
                  </w:pPr>
                  <w:r>
                    <w:rPr>
                      <w:rFonts w:hint="eastAsia"/>
                      <w:sz w:val="18"/>
                      <w:szCs w:val="18"/>
                    </w:rPr>
                    <w:t>注：①位于总氮/总磷控制区的，监测频次按 1 次/月执行；</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sz w:val="18"/>
                      <w:szCs w:val="18"/>
                    </w:rPr>
                  </w:pPr>
                  <w:r>
                    <w:rPr>
                      <w:rFonts w:hint="eastAsia"/>
                      <w:sz w:val="18"/>
                      <w:szCs w:val="18"/>
                    </w:rPr>
                    <w:t>②雨水排放口有流动水排放时按月检测，若监测 1 年无异常情况，可放宽至 1 次/季度；考虑到本项目厂区占地面积较大，目前雨污管网还在委托设计单位进行设计，雨水排放口数量以最终建成数量为准，并要求对每个雨水排放口均要按规范要求监测。</w:t>
                  </w:r>
                </w:p>
              </w:tc>
            </w:tr>
          </w:tbl>
          <w:p>
            <w:pPr>
              <w:pStyle w:val="6"/>
              <w:bidi w:val="0"/>
              <w:rPr>
                <w:rFonts w:hint="eastAsia"/>
                <w:lang w:eastAsia="zh-CN"/>
              </w:rPr>
            </w:pPr>
            <w:r>
              <w:rPr>
                <w:rFonts w:hint="eastAsia"/>
                <w:lang w:eastAsia="zh-CN"/>
              </w:rPr>
              <w:t>4.3.5污染防治措施及纳管可行性分析</w:t>
            </w:r>
          </w:p>
          <w:p>
            <w:pPr>
              <w:bidi w:val="0"/>
              <w:rPr>
                <w:rFonts w:hint="eastAsia"/>
                <w:b/>
                <w:bCs/>
                <w:lang w:eastAsia="zh-CN"/>
              </w:rPr>
            </w:pPr>
            <w:r>
              <w:rPr>
                <w:rFonts w:hint="eastAsia"/>
                <w:b/>
                <w:bCs/>
                <w:lang w:eastAsia="zh-CN"/>
              </w:rPr>
              <w:t>（</w:t>
            </w:r>
            <w:r>
              <w:rPr>
                <w:rFonts w:hint="eastAsia"/>
                <w:b/>
                <w:bCs/>
                <w:lang w:val="en-US" w:eastAsia="zh-CN"/>
              </w:rPr>
              <w:t>1</w:t>
            </w:r>
            <w:r>
              <w:rPr>
                <w:rFonts w:hint="eastAsia"/>
                <w:b/>
                <w:bCs/>
                <w:lang w:eastAsia="zh-CN"/>
              </w:rPr>
              <w:t>）废水污染治理工艺可行性</w:t>
            </w:r>
          </w:p>
          <w:p>
            <w:pPr>
              <w:bidi w:val="0"/>
              <w:rPr>
                <w:rFonts w:hint="eastAsia"/>
                <w:lang w:eastAsia="zh-CN"/>
              </w:rPr>
            </w:pPr>
            <w:r>
              <w:rPr>
                <w:rFonts w:hint="eastAsia"/>
                <w:lang w:eastAsia="zh-CN"/>
              </w:rPr>
              <w:t>本项目</w:t>
            </w:r>
            <w:r>
              <w:rPr>
                <w:rFonts w:hint="eastAsia"/>
                <w:lang w:val="en-US" w:eastAsia="zh-CN"/>
              </w:rPr>
              <w:t>仅排放生活污水，经化粪池预处理后与</w:t>
            </w:r>
            <w:r>
              <w:rPr>
                <w:rFonts w:hint="eastAsia"/>
                <w:lang w:eastAsia="zh-CN"/>
              </w:rPr>
              <w:t>综合废水一同处理后达标排放。</w:t>
            </w:r>
          </w:p>
          <w:p>
            <w:pPr>
              <w:bidi w:val="0"/>
              <w:rPr>
                <w:rFonts w:hint="eastAsia"/>
                <w:lang w:eastAsia="zh-CN"/>
              </w:rPr>
            </w:pPr>
            <w:r>
              <w:rPr>
                <w:rFonts w:hint="eastAsia"/>
                <w:lang w:eastAsia="zh-CN"/>
              </w:rPr>
              <w:t>①参照《排污许可证申请与核发技术规范 电池工业》(HJ967-2018) 6.1.2 章节表 20 综合废水处理可行技术为，</w:t>
            </w:r>
            <w:r>
              <w:rPr>
                <w:rFonts w:hint="eastAsia"/>
                <w:lang w:val="en-US" w:eastAsia="zh-CN"/>
              </w:rPr>
              <w:t>现有</w:t>
            </w:r>
            <w:r>
              <w:rPr>
                <w:rFonts w:hint="eastAsia"/>
                <w:lang w:eastAsia="zh-CN"/>
              </w:rPr>
              <w:t>废水处理工艺与其符合性分析见下表</w:t>
            </w:r>
          </w:p>
          <w:p>
            <w:pPr>
              <w:bidi w:val="0"/>
              <w:ind w:left="0" w:leftChars="0" w:firstLine="0" w:firstLineChars="0"/>
              <w:jc w:val="center"/>
              <w:rPr>
                <w:rFonts w:hint="eastAsia"/>
                <w:b/>
                <w:bCs/>
                <w:lang w:eastAsia="zh-CN"/>
              </w:rPr>
            </w:pPr>
          </w:p>
          <w:p>
            <w:pPr>
              <w:bidi w:val="0"/>
              <w:ind w:left="0" w:leftChars="0" w:firstLine="0" w:firstLineChars="0"/>
              <w:jc w:val="center"/>
              <w:rPr>
                <w:rFonts w:hint="eastAsia"/>
                <w:b/>
                <w:bCs/>
                <w:lang w:eastAsia="zh-CN"/>
              </w:rPr>
            </w:pPr>
          </w:p>
          <w:p>
            <w:pPr>
              <w:bidi w:val="0"/>
              <w:ind w:left="0" w:leftChars="0" w:firstLine="0" w:firstLineChars="0"/>
              <w:jc w:val="center"/>
              <w:rPr>
                <w:rFonts w:hint="eastAsia"/>
                <w:lang w:eastAsia="zh-CN"/>
              </w:rPr>
            </w:pPr>
            <w:r>
              <w:rPr>
                <w:rFonts w:hint="eastAsia"/>
                <w:b/>
                <w:bCs/>
                <w:lang w:eastAsia="zh-CN"/>
              </w:rPr>
              <w:t>表</w:t>
            </w:r>
            <w:r>
              <w:rPr>
                <w:rFonts w:hint="eastAsia"/>
                <w:b/>
                <w:bCs/>
                <w:lang w:val="en-US" w:eastAsia="zh-CN"/>
              </w:rPr>
              <w:t xml:space="preserve">4.3-7 </w:t>
            </w:r>
            <w:r>
              <w:rPr>
                <w:rFonts w:hint="eastAsia"/>
                <w:b/>
                <w:bCs/>
                <w:lang w:eastAsia="zh-CN"/>
              </w:rPr>
              <w:t xml:space="preserve"> </w:t>
            </w:r>
            <w:r>
              <w:rPr>
                <w:rFonts w:hint="eastAsia"/>
                <w:b/>
                <w:bCs/>
                <w:lang w:val="en-US" w:eastAsia="zh-CN"/>
              </w:rPr>
              <w:t>企业</w:t>
            </w:r>
            <w:r>
              <w:rPr>
                <w:rFonts w:hint="eastAsia"/>
                <w:b/>
                <w:bCs/>
                <w:lang w:eastAsia="zh-CN"/>
              </w:rPr>
              <w:t>废水处理工艺措施可行性分析表</w:t>
            </w:r>
          </w:p>
          <w:p>
            <w:pPr>
              <w:bidi w:val="0"/>
              <w:spacing w:line="240" w:lineRule="auto"/>
              <w:ind w:left="0" w:leftChars="0" w:firstLine="0" w:firstLineChars="0"/>
              <w:rPr>
                <w:rFonts w:hint="eastAsia"/>
                <w:lang w:eastAsia="zh-CN"/>
              </w:rPr>
            </w:pPr>
            <w:r>
              <w:drawing>
                <wp:inline distT="0" distB="0" distL="114300" distR="114300">
                  <wp:extent cx="5068570" cy="1171575"/>
                  <wp:effectExtent l="0" t="0" r="17780" b="9525"/>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48"/>
                          <a:stretch>
                            <a:fillRect/>
                          </a:stretch>
                        </pic:blipFill>
                        <pic:spPr>
                          <a:xfrm>
                            <a:off x="0" y="0"/>
                            <a:ext cx="5068570" cy="1171575"/>
                          </a:xfrm>
                          <a:prstGeom prst="rect">
                            <a:avLst/>
                          </a:prstGeom>
                          <a:noFill/>
                          <a:ln>
                            <a:noFill/>
                          </a:ln>
                        </pic:spPr>
                      </pic:pic>
                    </a:graphicData>
                  </a:graphic>
                </wp:inline>
              </w:drawing>
            </w:r>
          </w:p>
          <w:p>
            <w:pPr>
              <w:bidi w:val="0"/>
              <w:rPr>
                <w:rFonts w:hint="eastAsia"/>
                <w:lang w:eastAsia="zh-CN"/>
              </w:rPr>
            </w:pPr>
            <w:r>
              <w:rPr>
                <w:rFonts w:hint="eastAsia"/>
                <w:lang w:eastAsia="zh-CN"/>
              </w:rPr>
              <w:t>根据上表分析，本项目</w:t>
            </w:r>
            <w:r>
              <w:rPr>
                <w:rFonts w:hint="eastAsia"/>
                <w:lang w:val="en-US" w:eastAsia="zh-CN"/>
              </w:rPr>
              <w:t>生活污水与</w:t>
            </w:r>
            <w:r>
              <w:rPr>
                <w:rFonts w:hint="eastAsia"/>
                <w:lang w:eastAsia="zh-CN"/>
              </w:rPr>
              <w:t>综合废水</w:t>
            </w:r>
            <w:r>
              <w:rPr>
                <w:rFonts w:hint="eastAsia"/>
                <w:lang w:val="en-US" w:eastAsia="zh-CN"/>
              </w:rPr>
              <w:t>一起</w:t>
            </w:r>
            <w:r>
              <w:rPr>
                <w:rFonts w:hint="eastAsia"/>
                <w:lang w:eastAsia="zh-CN"/>
              </w:rPr>
              <w:t>采取“格栅+调节+气浮”预处理，生化工艺采取“厌氧+A/O+二沉池”均为可行工艺，废水处理措施工艺可行。</w:t>
            </w:r>
          </w:p>
          <w:p>
            <w:pPr>
              <w:bidi w:val="0"/>
              <w:rPr>
                <w:rFonts w:hint="eastAsia"/>
                <w:lang w:eastAsia="zh-CN"/>
              </w:rPr>
            </w:pPr>
            <w:r>
              <w:rPr>
                <w:rFonts w:hint="eastAsia"/>
                <w:lang w:val="en-US" w:eastAsia="zh-CN"/>
              </w:rPr>
              <w:t>②</w:t>
            </w:r>
            <w:r>
              <w:rPr>
                <w:rFonts w:hint="eastAsia"/>
                <w:lang w:eastAsia="zh-CN"/>
              </w:rPr>
              <w:t>污水站处理能力分析：</w:t>
            </w:r>
          </w:p>
          <w:p>
            <w:pPr>
              <w:bidi w:val="0"/>
              <w:rPr>
                <w:rFonts w:hint="eastAsia"/>
                <w:lang w:eastAsia="zh-CN"/>
              </w:rPr>
            </w:pPr>
            <w:r>
              <w:rPr>
                <w:rFonts w:hint="eastAsia"/>
                <w:lang w:val="en-US" w:eastAsia="zh-CN"/>
              </w:rPr>
              <w:t>企业现有项目污水站</w:t>
            </w:r>
            <w:r>
              <w:rPr>
                <w:rFonts w:hint="eastAsia"/>
                <w:lang w:eastAsia="zh-CN"/>
              </w:rPr>
              <w:t>处理能力</w:t>
            </w:r>
            <w:r>
              <w:rPr>
                <w:rFonts w:hint="eastAsia"/>
                <w:lang w:val="en-US" w:eastAsia="zh-CN"/>
              </w:rPr>
              <w:t>489</w:t>
            </w:r>
            <w:r>
              <w:rPr>
                <w:rFonts w:hint="eastAsia"/>
                <w:lang w:eastAsia="zh-CN"/>
              </w:rPr>
              <w:t>t/d，</w:t>
            </w:r>
            <w:r>
              <w:rPr>
                <w:rFonts w:hint="eastAsia"/>
                <w:lang w:val="en-US" w:eastAsia="zh-CN"/>
              </w:rPr>
              <w:t>现有项目</w:t>
            </w:r>
            <w:r>
              <w:rPr>
                <w:rFonts w:hint="eastAsia"/>
                <w:lang w:eastAsia="zh-CN"/>
              </w:rPr>
              <w:t>综合废水最大产生量约为 431.66t/d，</w:t>
            </w:r>
            <w:r>
              <w:rPr>
                <w:rFonts w:hint="eastAsia"/>
                <w:lang w:val="en-US" w:eastAsia="zh-CN"/>
              </w:rPr>
              <w:t>本项目生活污水产生量为12.61t/d，本项目实施后全厂综合废水最大产生量为444.27t/d，仍</w:t>
            </w:r>
            <w:r>
              <w:rPr>
                <w:rFonts w:hint="eastAsia"/>
                <w:lang w:eastAsia="zh-CN"/>
              </w:rPr>
              <w:t>在污水站处理能力范围内。</w:t>
            </w:r>
          </w:p>
          <w:p>
            <w:pPr>
              <w:bidi w:val="0"/>
              <w:rPr>
                <w:rFonts w:hint="eastAsia"/>
                <w:b/>
                <w:bCs/>
                <w:lang w:eastAsia="zh-CN"/>
              </w:rPr>
            </w:pPr>
            <w:r>
              <w:rPr>
                <w:rFonts w:hint="eastAsia"/>
                <w:b/>
                <w:bCs/>
                <w:lang w:eastAsia="zh-CN"/>
              </w:rPr>
              <w:t>（</w:t>
            </w:r>
            <w:r>
              <w:rPr>
                <w:rFonts w:hint="eastAsia"/>
                <w:b/>
                <w:bCs/>
                <w:lang w:val="en-US" w:eastAsia="zh-CN"/>
              </w:rPr>
              <w:t>2</w:t>
            </w:r>
            <w:r>
              <w:rPr>
                <w:rFonts w:hint="eastAsia"/>
                <w:b/>
                <w:bCs/>
                <w:lang w:eastAsia="zh-CN"/>
              </w:rPr>
              <w:t>）项目废水纳管可行性分析</w:t>
            </w:r>
          </w:p>
          <w:p>
            <w:pPr>
              <w:bidi w:val="0"/>
              <w:rPr>
                <w:rFonts w:hint="eastAsia"/>
                <w:lang w:eastAsia="zh-CN"/>
              </w:rPr>
            </w:pPr>
            <w:r>
              <w:rPr>
                <w:rFonts w:hint="eastAsia"/>
                <w:lang w:eastAsia="zh-CN"/>
              </w:rPr>
              <w:t>①接管可行性分析</w:t>
            </w:r>
          </w:p>
          <w:p>
            <w:pPr>
              <w:bidi w:val="0"/>
              <w:rPr>
                <w:rFonts w:hint="eastAsia"/>
                <w:lang w:eastAsia="zh-CN"/>
              </w:rPr>
            </w:pPr>
            <w:r>
              <w:rPr>
                <w:rFonts w:hint="eastAsia"/>
                <w:lang w:eastAsia="zh-CN"/>
              </w:rPr>
              <w:t>根据调查，本项目位于入海宁市尖山污水处理厂污水收集服务范围内，所在区域已有排污管网覆盖，污水纳管排可行。</w:t>
            </w:r>
          </w:p>
          <w:p>
            <w:pPr>
              <w:bidi w:val="0"/>
              <w:rPr>
                <w:rFonts w:hint="eastAsia"/>
                <w:lang w:eastAsia="zh-CN"/>
              </w:rPr>
            </w:pPr>
            <w:r>
              <w:rPr>
                <w:rFonts w:hint="eastAsia"/>
                <w:lang w:eastAsia="zh-CN"/>
              </w:rPr>
              <w:t>②水质接管可行性</w:t>
            </w:r>
          </w:p>
          <w:p>
            <w:pPr>
              <w:bidi w:val="0"/>
              <w:rPr>
                <w:rFonts w:hint="eastAsia"/>
                <w:lang w:eastAsia="zh-CN"/>
              </w:rPr>
            </w:pPr>
            <w:r>
              <w:rPr>
                <w:rFonts w:hint="eastAsia"/>
                <w:lang w:eastAsia="zh-CN"/>
              </w:rPr>
              <w:t>根据前述分析，本项目生活废水处理后达到《电池工业污染物排放标准》(GB30484-2013)的间接排放标准，能够满足海宁市尖山污水处理厂接管标准要求，可以接管。</w:t>
            </w:r>
          </w:p>
          <w:p>
            <w:pPr>
              <w:bidi w:val="0"/>
              <w:rPr>
                <w:rFonts w:hint="eastAsia"/>
                <w:b/>
                <w:bCs/>
                <w:lang w:eastAsia="zh-CN"/>
              </w:rPr>
            </w:pPr>
            <w:r>
              <w:rPr>
                <w:rFonts w:hint="eastAsia"/>
                <w:b/>
                <w:bCs/>
                <w:lang w:eastAsia="zh-CN"/>
              </w:rPr>
              <w:t>（</w:t>
            </w:r>
            <w:r>
              <w:rPr>
                <w:rFonts w:hint="eastAsia"/>
                <w:b/>
                <w:bCs/>
                <w:lang w:val="en-US" w:eastAsia="zh-CN"/>
              </w:rPr>
              <w:t>3</w:t>
            </w:r>
            <w:r>
              <w:rPr>
                <w:rFonts w:hint="eastAsia"/>
                <w:b/>
                <w:bCs/>
                <w:lang w:eastAsia="zh-CN"/>
              </w:rPr>
              <w:t>）废水水量接管可行性</w:t>
            </w:r>
          </w:p>
          <w:p>
            <w:pPr>
              <w:bidi w:val="0"/>
              <w:rPr>
                <w:rFonts w:hint="eastAsia"/>
                <w:lang w:eastAsia="zh-CN"/>
              </w:rPr>
            </w:pPr>
            <w:r>
              <w:rPr>
                <w:rFonts w:hint="eastAsia"/>
                <w:lang w:eastAsia="zh-CN"/>
              </w:rPr>
              <w:t>海宁市尖山污水处理厂位于海宁市尖山新区安江路南侧、金牛路东侧，占地62931m</w:t>
            </w:r>
            <w:r>
              <w:rPr>
                <w:rFonts w:hint="eastAsia"/>
                <w:vertAlign w:val="superscript"/>
                <w:lang w:eastAsia="zh-CN"/>
              </w:rPr>
              <w:t>2</w:t>
            </w:r>
            <w:r>
              <w:rPr>
                <w:rFonts w:hint="eastAsia"/>
                <w:lang w:eastAsia="zh-CN"/>
              </w:rPr>
              <w:t>，服务范围主要包括尖山新区、袁花镇、黄湾镇及海宁东部开发区的污水处理。污水处理厂分期实施，远期总规模为18万m</w:t>
            </w:r>
            <w:r>
              <w:rPr>
                <w:rFonts w:hint="eastAsia"/>
                <w:vertAlign w:val="superscript"/>
                <w:lang w:eastAsia="zh-CN"/>
              </w:rPr>
              <w:t>3</w:t>
            </w:r>
            <w:r>
              <w:rPr>
                <w:rFonts w:hint="eastAsia"/>
                <w:lang w:eastAsia="zh-CN"/>
              </w:rPr>
              <w:t>/d，目前尖山污水处理厂已实施一期工程，设计处理规模为5.0万m</w:t>
            </w:r>
            <w:r>
              <w:rPr>
                <w:rFonts w:hint="eastAsia"/>
                <w:vertAlign w:val="superscript"/>
                <w:lang w:eastAsia="zh-CN"/>
              </w:rPr>
              <w:t>3</w:t>
            </w:r>
            <w:r>
              <w:rPr>
                <w:rFonts w:hint="eastAsia"/>
                <w:lang w:eastAsia="zh-CN"/>
              </w:rPr>
              <w:t>/d，采用水解酸化+SBR处理工艺，设计出水水质为《城镇污水处理厂污染物排放标准》（GB 18918-2002）中的二级标准，于2009年6月开工建设，2016年7月通过环境保护设施竣工验收。目前，尖山到丁桥的21公里污水管道已建成使用，污水处理一期工程的尾水经尾水输送系统输送至丁桥污水处理厂，通过其排放口排入钱塘江。尖山污水处理厂一期提标改造工程于2017年2月开工，提标主要采用 AAO+MBR工艺，提标后设计处理规模仍为5.0万m</w:t>
            </w:r>
            <w:r>
              <w:rPr>
                <w:rFonts w:hint="eastAsia"/>
                <w:vertAlign w:val="superscript"/>
                <w:lang w:eastAsia="zh-CN"/>
              </w:rPr>
              <w:t>3</w:t>
            </w:r>
            <w:r>
              <w:rPr>
                <w:rFonts w:hint="eastAsia"/>
                <w:lang w:eastAsia="zh-CN"/>
              </w:rPr>
              <w:t>/d，2018年7月完成提标改造项目竣工验收。污水处理厂废水污染物的环境排放执行《城镇污水处理厂主要水污染物排放标准》（DB33/2169-2018）中相关限值。海宁市尖山污水处理厂现有一期工程主体污水处理工艺流程及提标改造后工艺流程如下图。</w:t>
            </w:r>
          </w:p>
          <w:p>
            <w:pPr>
              <w:bidi w:val="0"/>
              <w:spacing w:line="240" w:lineRule="auto"/>
              <w:ind w:left="0" w:leftChars="0" w:firstLine="0" w:firstLineChars="0"/>
              <w:jc w:val="center"/>
              <w:rPr>
                <w:rFonts w:hint="eastAsia"/>
                <w:lang w:eastAsia="zh-CN"/>
              </w:rPr>
            </w:pPr>
            <w:r>
              <w:rPr>
                <w:rFonts w:hint="eastAsia"/>
                <w:lang w:eastAsia="zh-CN"/>
              </w:rPr>
              <w:drawing>
                <wp:inline distT="0" distB="0" distL="114300" distR="114300">
                  <wp:extent cx="3114675" cy="4401185"/>
                  <wp:effectExtent l="0" t="0" r="9525" b="18415"/>
                  <wp:docPr id="36" name="图片 36" descr="晶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晶科"/>
                          <pic:cNvPicPr>
                            <a:picLocks noChangeAspect="1"/>
                          </pic:cNvPicPr>
                        </pic:nvPicPr>
                        <pic:blipFill>
                          <a:blip r:embed="rId49"/>
                          <a:stretch>
                            <a:fillRect/>
                          </a:stretch>
                        </pic:blipFill>
                        <pic:spPr>
                          <a:xfrm>
                            <a:off x="0" y="0"/>
                            <a:ext cx="3114675" cy="4401185"/>
                          </a:xfrm>
                          <a:prstGeom prst="rect">
                            <a:avLst/>
                          </a:prstGeom>
                        </pic:spPr>
                      </pic:pic>
                    </a:graphicData>
                  </a:graphic>
                </wp:inline>
              </w:drawing>
            </w:r>
          </w:p>
          <w:p>
            <w:pPr>
              <w:bidi w:val="0"/>
              <w:ind w:left="0" w:leftChars="0" w:firstLine="0" w:firstLineChars="0"/>
              <w:jc w:val="center"/>
              <w:rPr>
                <w:rFonts w:hint="default"/>
                <w:b/>
                <w:bCs/>
                <w:lang w:val="en-US" w:eastAsia="zh-CN"/>
              </w:rPr>
            </w:pPr>
            <w:r>
              <w:rPr>
                <w:rFonts w:hint="eastAsia"/>
                <w:b/>
                <w:bCs/>
                <w:lang w:val="en-US" w:eastAsia="zh-CN"/>
              </w:rPr>
              <w:t>图4.3-1  尖山污水处理厂一期工程主体污水处工艺流程图</w:t>
            </w:r>
          </w:p>
          <w:p>
            <w:pPr>
              <w:bidi w:val="0"/>
              <w:spacing w:line="240" w:lineRule="auto"/>
              <w:rPr>
                <w:rFonts w:hint="eastAsia"/>
                <w:lang w:eastAsia="zh-CN"/>
              </w:rPr>
            </w:pPr>
            <w:r>
              <w:rPr>
                <w:rFonts w:hint="eastAsia"/>
                <w:lang w:eastAsia="zh-CN"/>
              </w:rPr>
              <w:drawing>
                <wp:inline distT="0" distB="0" distL="114300" distR="114300">
                  <wp:extent cx="4432935" cy="5160010"/>
                  <wp:effectExtent l="0" t="0" r="5715" b="2540"/>
                  <wp:docPr id="37" name="图片 37" descr="晶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晶科"/>
                          <pic:cNvPicPr>
                            <a:picLocks noChangeAspect="1"/>
                          </pic:cNvPicPr>
                        </pic:nvPicPr>
                        <pic:blipFill>
                          <a:blip r:embed="rId50"/>
                          <a:stretch>
                            <a:fillRect/>
                          </a:stretch>
                        </pic:blipFill>
                        <pic:spPr>
                          <a:xfrm>
                            <a:off x="0" y="0"/>
                            <a:ext cx="4432935" cy="5160010"/>
                          </a:xfrm>
                          <a:prstGeom prst="rect">
                            <a:avLst/>
                          </a:prstGeom>
                        </pic:spPr>
                      </pic:pic>
                    </a:graphicData>
                  </a:graphic>
                </wp:inline>
              </w:drawing>
            </w:r>
          </w:p>
          <w:p>
            <w:pPr>
              <w:bidi w:val="0"/>
              <w:jc w:val="center"/>
              <w:rPr>
                <w:rFonts w:hint="default"/>
                <w:lang w:val="en-US" w:eastAsia="zh-CN"/>
              </w:rPr>
            </w:pPr>
            <w:r>
              <w:rPr>
                <w:rFonts w:hint="eastAsia"/>
                <w:b/>
                <w:bCs/>
                <w:lang w:val="en-US" w:eastAsia="zh-CN"/>
              </w:rPr>
              <w:t>图4.3-2  尖山污水处理厂一期工程提标改造后主体污水处理工艺流程图</w:t>
            </w:r>
          </w:p>
          <w:p>
            <w:pPr>
              <w:bidi w:val="0"/>
              <w:rPr>
                <w:rFonts w:hint="eastAsia"/>
                <w:lang w:eastAsia="zh-CN"/>
              </w:rPr>
            </w:pPr>
            <w:r>
              <w:rPr>
                <w:rFonts w:hint="eastAsia"/>
                <w:lang w:eastAsia="zh-CN"/>
              </w:rPr>
              <w:t>根据浙江省生态环境厅发布的污水处理厂监督性监测数据，2024年4月11日尖山污水处理厂处理量为3.9万m</w:t>
            </w:r>
            <w:r>
              <w:rPr>
                <w:rFonts w:hint="eastAsia"/>
                <w:vertAlign w:val="superscript"/>
                <w:lang w:eastAsia="zh-CN"/>
              </w:rPr>
              <w:t>3</w:t>
            </w:r>
            <w:r>
              <w:rPr>
                <w:rFonts w:hint="eastAsia"/>
                <w:lang w:eastAsia="zh-CN"/>
              </w:rPr>
              <w:t>/d，剩余1.1万m</w:t>
            </w:r>
            <w:r>
              <w:rPr>
                <w:rFonts w:hint="eastAsia"/>
                <w:vertAlign w:val="superscript"/>
                <w:lang w:eastAsia="zh-CN"/>
              </w:rPr>
              <w:t>3</w:t>
            </w:r>
            <w:r>
              <w:rPr>
                <w:rFonts w:hint="eastAsia"/>
                <w:lang w:eastAsia="zh-CN"/>
              </w:rPr>
              <w:t>/d处理能力，污水处理厂运行良好，出水水质基本稳定，目前尖山污水处理厂出水水质能达到《城镇污水处理厂主要水污染物排放标准》（DB33/2169-2018）中相关限值。尾水排放监测结果如下：</w:t>
            </w:r>
          </w:p>
          <w:p>
            <w:pPr>
              <w:bidi w:val="0"/>
              <w:jc w:val="center"/>
              <w:rPr>
                <w:rFonts w:hint="default"/>
                <w:b/>
                <w:bCs/>
                <w:lang w:val="en-US" w:eastAsia="zh-CN"/>
              </w:rPr>
            </w:pPr>
            <w:r>
              <w:rPr>
                <w:rFonts w:hint="eastAsia"/>
                <w:b/>
                <w:bCs/>
                <w:lang w:val="en-US" w:eastAsia="zh-CN"/>
              </w:rPr>
              <w:t>表4.3-8  尖山污水处理厂尾水监测结果</w:t>
            </w:r>
          </w:p>
          <w:p>
            <w:pPr>
              <w:bidi w:val="0"/>
              <w:spacing w:line="240" w:lineRule="auto"/>
              <w:ind w:left="0" w:leftChars="0" w:firstLine="0" w:firstLineChars="0"/>
              <w:rPr>
                <w:rFonts w:hint="eastAsia"/>
                <w:lang w:eastAsia="zh-CN"/>
              </w:rPr>
            </w:pPr>
            <w:r>
              <w:drawing>
                <wp:inline distT="0" distB="0" distL="114300" distR="114300">
                  <wp:extent cx="5068570" cy="1517015"/>
                  <wp:effectExtent l="0" t="0" r="17780" b="6985"/>
                  <wp:docPr id="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pic:cNvPicPr>
                            <a:picLocks noChangeAspect="1"/>
                          </pic:cNvPicPr>
                        </pic:nvPicPr>
                        <pic:blipFill>
                          <a:blip r:embed="rId51"/>
                          <a:stretch>
                            <a:fillRect/>
                          </a:stretch>
                        </pic:blipFill>
                        <pic:spPr>
                          <a:xfrm>
                            <a:off x="0" y="0"/>
                            <a:ext cx="5068570" cy="1517015"/>
                          </a:xfrm>
                          <a:prstGeom prst="rect">
                            <a:avLst/>
                          </a:prstGeom>
                          <a:noFill/>
                          <a:ln>
                            <a:noFill/>
                          </a:ln>
                        </pic:spPr>
                      </pic:pic>
                    </a:graphicData>
                  </a:graphic>
                </wp:inline>
              </w:drawing>
            </w:r>
          </w:p>
          <w:p>
            <w:pPr>
              <w:bidi w:val="0"/>
              <w:spacing w:line="240" w:lineRule="auto"/>
              <w:ind w:left="0" w:leftChars="0" w:firstLine="0" w:firstLineChars="0"/>
              <w:rPr>
                <w:rFonts w:hint="eastAsia"/>
                <w:lang w:eastAsia="zh-CN"/>
              </w:rPr>
            </w:pPr>
            <w:r>
              <w:drawing>
                <wp:inline distT="0" distB="0" distL="114300" distR="114300">
                  <wp:extent cx="5069840" cy="2539365"/>
                  <wp:effectExtent l="0" t="0" r="16510" b="13335"/>
                  <wp:docPr id="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pic:cNvPicPr>
                            <a:picLocks noChangeAspect="1"/>
                          </pic:cNvPicPr>
                        </pic:nvPicPr>
                        <pic:blipFill>
                          <a:blip r:embed="rId52"/>
                          <a:stretch>
                            <a:fillRect/>
                          </a:stretch>
                        </pic:blipFill>
                        <pic:spPr>
                          <a:xfrm>
                            <a:off x="0" y="0"/>
                            <a:ext cx="5069840" cy="2539365"/>
                          </a:xfrm>
                          <a:prstGeom prst="rect">
                            <a:avLst/>
                          </a:prstGeom>
                          <a:noFill/>
                          <a:ln>
                            <a:noFill/>
                          </a:ln>
                        </pic:spPr>
                      </pic:pic>
                    </a:graphicData>
                  </a:graphic>
                </wp:inline>
              </w:drawing>
            </w:r>
          </w:p>
          <w:p>
            <w:pPr>
              <w:bidi w:val="0"/>
              <w:rPr>
                <w:rFonts w:hint="eastAsia"/>
                <w:lang w:eastAsia="zh-CN"/>
              </w:rPr>
            </w:pPr>
            <w:r>
              <w:rPr>
                <w:rFonts w:hint="eastAsia"/>
                <w:lang w:eastAsia="zh-CN"/>
              </w:rPr>
              <w:t>本项目新增废水量较少，尖山污水厂有能力处理项目产生的废水。本项目所在地具备纳管条件，新增废水量不会对海宁市尖山污水处理厂正常运行带来影响和冲击。</w:t>
            </w:r>
          </w:p>
          <w:p>
            <w:pPr>
              <w:pStyle w:val="5"/>
              <w:spacing w:before="0"/>
              <w:rPr>
                <w:rFonts w:hint="default"/>
                <w:spacing w:val="-10"/>
              </w:rPr>
            </w:pPr>
            <w:r>
              <w:rPr>
                <w:spacing w:val="-10"/>
              </w:rPr>
              <w:t>4.4</w:t>
            </w:r>
            <w:r>
              <w:t>运营期</w:t>
            </w:r>
            <w:r>
              <w:rPr>
                <w:spacing w:val="-10"/>
              </w:rPr>
              <w:t>声</w:t>
            </w:r>
            <w:r>
              <w:t>环境影响和保护措施</w:t>
            </w:r>
          </w:p>
          <w:p>
            <w:pPr>
              <w:pStyle w:val="6"/>
            </w:pPr>
            <w:r>
              <w:t>4.4.1噪声源强分析</w:t>
            </w:r>
          </w:p>
          <w:p>
            <w:pPr>
              <w:bidi w:val="0"/>
            </w:pPr>
            <w:r>
              <w:rPr>
                <w:rFonts w:hint="eastAsia"/>
              </w:rPr>
              <w:t>本项目噪声主要来自生产设备运转产生的噪声，噪声值在</w:t>
            </w:r>
            <w:r>
              <w:rPr>
                <w:rFonts w:hint="eastAsia"/>
                <w:lang w:val="en-US" w:eastAsia="zh-CN"/>
              </w:rPr>
              <w:t>7</w:t>
            </w:r>
            <w:r>
              <w:rPr>
                <w:rFonts w:hint="eastAsia"/>
              </w:rPr>
              <w:t>5dB(A)~</w:t>
            </w:r>
            <w:r>
              <w:rPr>
                <w:rFonts w:hint="eastAsia"/>
                <w:lang w:val="en-US" w:eastAsia="zh-CN"/>
              </w:rPr>
              <w:t>8</w:t>
            </w:r>
            <w:r>
              <w:rPr>
                <w:rFonts w:hint="eastAsia"/>
              </w:rPr>
              <w:t>0dB(A)之间，生产设备运转产生的噪声其防护措施主要通过建筑物隔声、基础减振等降噪措施以及加强车间门窗密闭性，定期保养和维护设备，避免设备在不良状态下运行，通过以上措施可使其噪声强度降低 10~20dB(A)；噪声源强详见下表。</w:t>
            </w:r>
          </w:p>
        </w:tc>
      </w:tr>
    </w:tbl>
    <w:p>
      <w:pPr>
        <w:ind w:firstLine="0" w:firstLineChars="0"/>
        <w:jc w:val="center"/>
        <w:rPr>
          <w:rFonts w:ascii="宋体" w:hAnsi="宋体" w:cs="宋体"/>
          <w:sz w:val="36"/>
          <w:szCs w:val="36"/>
        </w:rPr>
        <w:sectPr>
          <w:pgSz w:w="11906" w:h="16838"/>
          <w:pgMar w:top="1440" w:right="1800" w:bottom="1440" w:left="1800" w:header="851" w:footer="992" w:gutter="0"/>
          <w:pgNumType w:fmt="decimal"/>
          <w:cols w:space="425" w:num="1"/>
          <w:docGrid w:type="lines" w:linePitch="312" w:charSpace="0"/>
        </w:sect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tcPr>
          <w:p>
            <w:pPr>
              <w:jc w:val="center"/>
              <w:rPr>
                <w:b/>
                <w:bCs/>
              </w:rPr>
            </w:pPr>
            <w:r>
              <w:rPr>
                <w:b/>
                <w:bCs/>
              </w:rPr>
              <w:t>表</w:t>
            </w:r>
            <w:r>
              <w:rPr>
                <w:rFonts w:hint="default"/>
                <w:b/>
                <w:bCs/>
              </w:rPr>
              <w:t>4.4-1  项目主要设备噪声调查清单（室外声源）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016"/>
              <w:gridCol w:w="646"/>
              <w:gridCol w:w="696"/>
              <w:gridCol w:w="763"/>
              <w:gridCol w:w="494"/>
              <w:gridCol w:w="3774"/>
              <w:gridCol w:w="2865"/>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序号</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型号</w:t>
                  </w:r>
                </w:p>
              </w:tc>
              <w:tc>
                <w:tcPr>
                  <w:tcW w:w="0" w:type="auto"/>
                  <w:gridSpan w:val="3"/>
                  <w:tcBorders>
                    <w:top w:val="single" w:color="auto" w:sz="4" w:space="0"/>
                    <w:left w:val="single" w:color="auto" w:sz="4" w:space="0"/>
                    <w:bottom w:val="single" w:color="auto" w:sz="4" w:space="0"/>
                    <w:right w:val="single" w:color="auto" w:sz="4" w:space="0"/>
                  </w:tcBorders>
                  <w:vAlign w:val="center"/>
                </w:tcPr>
                <w:p>
                  <w:pPr>
                    <w:pStyle w:val="20"/>
                  </w:pPr>
                  <w:r>
                    <w:rPr>
                      <w:rFonts w:hint="eastAsia"/>
                    </w:rPr>
                    <w:t>空间相对位置</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声源源强</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声源控制措施</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运行时段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t>X</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t>Y</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t>Z</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（声压级/距声源距离）/（</w:t>
                  </w:r>
                  <w:r>
                    <w:t>dB</w:t>
                  </w:r>
                  <w:r>
                    <w:rPr>
                      <w:rFonts w:hint="eastAsia"/>
                    </w:rPr>
                    <w:t>（A）/</w:t>
                  </w:r>
                  <w:r>
                    <w:t>m</w:t>
                  </w:r>
                  <w:r>
                    <w:rPr>
                      <w:rFonts w:hint="eastAsia"/>
                    </w:rPr>
                    <w:t>）</w:t>
                  </w:r>
                  <w:r>
                    <w:t xml:space="preserve"> </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pPr>
                    <w:pStyle w:val="20"/>
                  </w:pPr>
                  <w:r>
                    <w:t>1</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油烟废气治理设施风机（1套）</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eastAsia="zh-CN"/>
                    </w:rPr>
                  </w:pPr>
                  <w:r>
                    <w:rPr>
                      <w:rFonts w:hint="eastAsia"/>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154.4</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-157.3</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lang w:val="en-US" w:eastAsia="zh-CN"/>
                    </w:rPr>
                    <w:t>80</w:t>
                  </w:r>
                  <w:r>
                    <w:t>/1</w:t>
                  </w:r>
                  <w:r>
                    <w:rPr>
                      <w:rFonts w:hint="eastAsia"/>
                    </w:rPr>
                    <w:t>m</w:t>
                  </w:r>
                </w:p>
              </w:tc>
              <w:tc>
                <w:tcPr>
                  <w:tcW w:w="0" w:type="auto"/>
                  <w:vMerge w:val="restart"/>
                  <w:tcBorders>
                    <w:top w:val="single" w:color="auto" w:sz="4" w:space="0"/>
                    <w:left w:val="single" w:color="auto" w:sz="4" w:space="0"/>
                    <w:right w:val="single" w:color="auto" w:sz="4" w:space="0"/>
                  </w:tcBorders>
                  <w:vAlign w:val="center"/>
                </w:tcPr>
                <w:p>
                  <w:pPr>
                    <w:pStyle w:val="20"/>
                  </w:pPr>
                  <w:r>
                    <w:rPr>
                      <w:rFonts w:hint="eastAsia"/>
                    </w:rPr>
                    <w:t>隔声、减振、选用低噪声设备</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污水站废气处理装置（1套）</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18</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146.3</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80</w:t>
                  </w:r>
                  <w:r>
                    <w:t>/1</w:t>
                  </w:r>
                  <w:r>
                    <w:rPr>
                      <w:rFonts w:hint="eastAsia"/>
                    </w:rPr>
                    <w:t>m</w:t>
                  </w:r>
                </w:p>
              </w:tc>
              <w:tc>
                <w:tcPr>
                  <w:tcW w:w="0" w:type="auto"/>
                  <w:vMerge w:val="continue"/>
                  <w:tcBorders>
                    <w:left w:val="single" w:color="auto" w:sz="4" w:space="0"/>
                    <w:right w:val="single" w:color="auto" w:sz="4" w:space="0"/>
                  </w:tcBorders>
                  <w:vAlign w:val="center"/>
                </w:tcPr>
                <w:p>
                  <w:pPr>
                    <w:pStyle w:val="20"/>
                    <w:rPr>
                      <w:rFonts w:hint="eastAsia"/>
                    </w:rPr>
                  </w:pP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3</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空调机组（按点声源组预测）</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-78.6</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24.9</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75（等效后：98.2)/</w:t>
                  </w:r>
                  <w:r>
                    <w:t>1</w:t>
                  </w:r>
                  <w:r>
                    <w:rPr>
                      <w:rFonts w:hint="eastAsia"/>
                    </w:rPr>
                    <w:t>m</w:t>
                  </w:r>
                </w:p>
              </w:tc>
              <w:tc>
                <w:tcPr>
                  <w:tcW w:w="0" w:type="auto"/>
                  <w:vMerge w:val="continue"/>
                  <w:tcBorders>
                    <w:left w:val="single" w:color="auto" w:sz="4" w:space="0"/>
                    <w:right w:val="single" w:color="auto" w:sz="4" w:space="0"/>
                  </w:tcBorders>
                  <w:vAlign w:val="center"/>
                </w:tcPr>
                <w:p>
                  <w:pPr>
                    <w:pStyle w:val="20"/>
                    <w:rPr>
                      <w:rFonts w:hint="eastAsia"/>
                    </w:rPr>
                  </w:pPr>
                </w:p>
              </w:tc>
              <w:tc>
                <w:tcPr>
                  <w:tcW w:w="0" w:type="auto"/>
                  <w:tcBorders>
                    <w:top w:val="single" w:color="auto" w:sz="4" w:space="0"/>
                    <w:left w:val="single" w:color="auto" w:sz="4" w:space="0"/>
                    <w:bottom w:val="single" w:color="auto" w:sz="4" w:space="0"/>
                    <w:right w:val="single" w:color="auto" w:sz="4" w:space="0"/>
                  </w:tcBorders>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连续</w:t>
                  </w:r>
                </w:p>
              </w:tc>
            </w:tr>
          </w:tbl>
          <w:p>
            <w:pPr>
              <w:jc w:val="center"/>
              <w:rPr>
                <w:b/>
                <w:bCs/>
              </w:rPr>
            </w:pPr>
            <w:r>
              <w:rPr>
                <w:b/>
                <w:bCs/>
              </w:rPr>
              <w:t>表</w:t>
            </w:r>
            <w:r>
              <w:rPr>
                <w:rFonts w:hint="eastAsia"/>
                <w:b/>
                <w:bCs/>
              </w:rPr>
              <w:t>4.4-</w:t>
            </w:r>
            <w:r>
              <w:rPr>
                <w:b/>
                <w:bCs/>
              </w:rPr>
              <w:t>2</w:t>
            </w:r>
            <w:r>
              <w:rPr>
                <w:rFonts w:hint="eastAsia"/>
                <w:b/>
                <w:bCs/>
              </w:rPr>
              <w:t xml:space="preserve">  项目主要设备噪声调查清单（室内声源）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507"/>
              <w:gridCol w:w="858"/>
              <w:gridCol w:w="396"/>
              <w:gridCol w:w="732"/>
              <w:gridCol w:w="663"/>
              <w:gridCol w:w="675"/>
              <w:gridCol w:w="681"/>
              <w:gridCol w:w="441"/>
              <w:gridCol w:w="615"/>
              <w:gridCol w:w="531"/>
              <w:gridCol w:w="531"/>
              <w:gridCol w:w="531"/>
              <w:gridCol w:w="531"/>
              <w:gridCol w:w="531"/>
              <w:gridCol w:w="531"/>
              <w:gridCol w:w="531"/>
              <w:gridCol w:w="396"/>
              <w:gridCol w:w="790"/>
              <w:gridCol w:w="531"/>
              <w:gridCol w:w="531"/>
              <w:gridCol w:w="531"/>
              <w:gridCol w:w="531"/>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序号</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建筑物名称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型号</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声源源强</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声源控制措施</w:t>
                  </w:r>
                </w:p>
              </w:tc>
              <w:tc>
                <w:tcPr>
                  <w:tcW w:w="0" w:type="auto"/>
                  <w:gridSpan w:val="3"/>
                  <w:tcBorders>
                    <w:top w:val="single" w:color="auto" w:sz="4" w:space="0"/>
                    <w:left w:val="single" w:color="auto" w:sz="4" w:space="0"/>
                    <w:bottom w:val="single" w:color="auto" w:sz="4" w:space="0"/>
                    <w:right w:val="single" w:color="auto" w:sz="4" w:space="0"/>
                  </w:tcBorders>
                  <w:vAlign w:val="center"/>
                </w:tcPr>
                <w:p>
                  <w:pPr>
                    <w:pStyle w:val="20"/>
                  </w:pPr>
                  <w:r>
                    <w:rPr>
                      <w:rFonts w:hint="eastAsia"/>
                    </w:rPr>
                    <w:t>空间相对位置/</w:t>
                  </w:r>
                  <w:r>
                    <w:t>m</w:t>
                  </w:r>
                </w:p>
              </w:tc>
              <w:tc>
                <w:tcPr>
                  <w:tcW w:w="0" w:type="auto"/>
                  <w:gridSpan w:val="4"/>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距室内边界距离</w:t>
                  </w:r>
                  <w:r>
                    <w:t>/m</w:t>
                  </w:r>
                </w:p>
              </w:tc>
              <w:tc>
                <w:tcPr>
                  <w:tcW w:w="0" w:type="auto"/>
                  <w:gridSpan w:val="4"/>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室内边界声级</w:t>
                  </w:r>
                  <w:r>
                    <w:t>/dB</w:t>
                  </w:r>
                  <w:r>
                    <w:rPr>
                      <w:rFonts w:hint="eastAsia"/>
                    </w:rPr>
                    <w:t>（A）</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运行</w:t>
                  </w:r>
                </w:p>
                <w:p>
                  <w:pPr>
                    <w:pStyle w:val="20"/>
                  </w:pPr>
                  <w:r>
                    <w:rPr>
                      <w:rFonts w:hint="eastAsia"/>
                    </w:rPr>
                    <w:t>时段</w:t>
                  </w:r>
                </w:p>
              </w:tc>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建筑物插入损失</w:t>
                  </w:r>
                  <w:r>
                    <w:t>/dB</w:t>
                  </w:r>
                  <w:r>
                    <w:rPr>
                      <w:rFonts w:hint="eastAsia"/>
                    </w:rPr>
                    <w:t>（A）</w:t>
                  </w:r>
                </w:p>
              </w:tc>
              <w:tc>
                <w:tcPr>
                  <w:tcW w:w="954" w:type="pct"/>
                  <w:gridSpan w:val="5"/>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建筑物外噪声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restart"/>
                  <w:tcBorders>
                    <w:top w:val="single" w:color="auto" w:sz="4" w:space="0"/>
                    <w:left w:val="single" w:color="auto" w:sz="4" w:space="0"/>
                    <w:right w:val="single" w:color="auto" w:sz="4" w:space="0"/>
                  </w:tcBorders>
                  <w:vAlign w:val="center"/>
                </w:tcPr>
                <w:p>
                  <w:pPr>
                    <w:pStyle w:val="20"/>
                  </w:pPr>
                  <w:r>
                    <w:rPr>
                      <w:rFonts w:hint="eastAsia"/>
                    </w:rPr>
                    <w:t>声压级/距声源距离</w:t>
                  </w:r>
                </w:p>
                <w:p>
                  <w:pPr>
                    <w:pStyle w:val="20"/>
                  </w:pPr>
                  <w:r>
                    <w:t>dB</w:t>
                  </w:r>
                  <w:r>
                    <w:rPr>
                      <w:rFonts w:hint="eastAsia"/>
                    </w:rPr>
                    <w:t>（A）/</w:t>
                  </w:r>
                  <w:r>
                    <w:t>m</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restart"/>
                  <w:tcBorders>
                    <w:top w:val="single" w:color="auto" w:sz="4" w:space="0"/>
                    <w:left w:val="single" w:color="auto" w:sz="4" w:space="0"/>
                    <w:right w:val="single" w:color="auto" w:sz="4" w:space="0"/>
                  </w:tcBorders>
                  <w:vAlign w:val="center"/>
                </w:tcPr>
                <w:p>
                  <w:pPr>
                    <w:pStyle w:val="20"/>
                  </w:pPr>
                  <w:r>
                    <w:t>X</w:t>
                  </w:r>
                </w:p>
              </w:tc>
              <w:tc>
                <w:tcPr>
                  <w:tcW w:w="0" w:type="auto"/>
                  <w:vMerge w:val="restart"/>
                  <w:tcBorders>
                    <w:top w:val="single" w:color="auto" w:sz="4" w:space="0"/>
                    <w:left w:val="single" w:color="auto" w:sz="4" w:space="0"/>
                    <w:right w:val="single" w:color="auto" w:sz="4" w:space="0"/>
                  </w:tcBorders>
                  <w:vAlign w:val="center"/>
                </w:tcPr>
                <w:p>
                  <w:pPr>
                    <w:pStyle w:val="20"/>
                  </w:pPr>
                  <w:r>
                    <w:t>Y</w:t>
                  </w:r>
                </w:p>
              </w:tc>
              <w:tc>
                <w:tcPr>
                  <w:tcW w:w="0" w:type="auto"/>
                  <w:vMerge w:val="restart"/>
                  <w:tcBorders>
                    <w:top w:val="single" w:color="auto" w:sz="4" w:space="0"/>
                    <w:left w:val="single" w:color="auto" w:sz="4" w:space="0"/>
                    <w:right w:val="single" w:color="auto" w:sz="4" w:space="0"/>
                  </w:tcBorders>
                  <w:vAlign w:val="center"/>
                </w:tcPr>
                <w:p>
                  <w:pPr>
                    <w:pStyle w:val="20"/>
                  </w:pPr>
                  <w:r>
                    <w:t>Z</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东</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南</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西</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北</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东</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南</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西</w:t>
                  </w:r>
                </w:p>
              </w:tc>
              <w:tc>
                <w:tcPr>
                  <w:tcW w:w="0" w:type="auto"/>
                  <w:vMerge w:val="restart"/>
                  <w:tcBorders>
                    <w:top w:val="single" w:color="auto" w:sz="4" w:space="0"/>
                    <w:left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北</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20"/>
                  </w:pPr>
                </w:p>
              </w:tc>
              <w:tc>
                <w:tcPr>
                  <w:tcW w:w="0" w:type="auto"/>
                  <w:gridSpan w:val="4"/>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声压级</w:t>
                  </w:r>
                  <w:r>
                    <w:t>/dB</w:t>
                  </w:r>
                  <w:r>
                    <w:rPr>
                      <w:rFonts w:hint="eastAsia"/>
                    </w:rPr>
                    <w:t>（A）</w:t>
                  </w:r>
                </w:p>
              </w:tc>
              <w:tc>
                <w:tcPr>
                  <w:tcW w:w="0" w:type="auto"/>
                  <w:vMerge w:val="restart"/>
                  <w:tcBorders>
                    <w:top w:val="single" w:color="auto" w:sz="4" w:space="0"/>
                    <w:left w:val="single" w:color="auto" w:sz="4" w:space="0"/>
                    <w:right w:val="single" w:color="auto" w:sz="4" w:space="0"/>
                  </w:tcBorders>
                  <w:vAlign w:val="center"/>
                </w:tcPr>
                <w:p>
                  <w:pPr>
                    <w:pStyle w:val="20"/>
                  </w:pPr>
                  <w:r>
                    <w:rPr>
                      <w:rFonts w:hint="eastAsia"/>
                    </w:rPr>
                    <w:t>建筑物外距离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vMerge w:val="continue"/>
                  <w:tcBorders>
                    <w:left w:val="single" w:color="auto" w:sz="4" w:space="0"/>
                    <w:bottom w:val="single" w:color="auto" w:sz="4" w:space="0"/>
                    <w:right w:val="single" w:color="auto" w:sz="4" w:space="0"/>
                  </w:tcBorders>
                  <w:vAlign w:val="center"/>
                </w:tcPr>
                <w:p>
                  <w:pPr>
                    <w:pStyle w:val="20"/>
                  </w:pP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东</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南</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西</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北</w:t>
                  </w:r>
                </w:p>
              </w:tc>
              <w:tc>
                <w:tcPr>
                  <w:tcW w:w="0" w:type="auto"/>
                  <w:vMerge w:val="continue"/>
                  <w:tcBorders>
                    <w:left w:val="single" w:color="auto" w:sz="4" w:space="0"/>
                    <w:bottom w:val="single" w:color="auto" w:sz="4" w:space="0"/>
                    <w:right w:val="single" w:color="auto" w:sz="4" w:space="0"/>
                  </w:tcBorders>
                  <w:vAlign w:val="center"/>
                </w:tcPr>
                <w:p>
                  <w:pPr>
                    <w:pStyle w:val="2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1</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M2模组装配厂房</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2B模组pack产线,</w:t>
                  </w:r>
                  <w:r>
                    <w:rPr>
                      <w:rFonts w:hint="eastAsia"/>
                      <w:lang w:val="en-US" w:eastAsia="zh-CN"/>
                    </w:rPr>
                    <w:t>1</w:t>
                  </w:r>
                  <w:r>
                    <w:rPr>
                      <w:rFonts w:hint="eastAsia"/>
                    </w:rPr>
                    <w:t>条（按点声源组预测）</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75（等效后：79.8)</w:t>
                  </w:r>
                </w:p>
              </w:tc>
              <w:tc>
                <w:tcPr>
                  <w:tcW w:w="0" w:type="auto"/>
                  <w:vMerge w:val="restart"/>
                  <w:tcBorders>
                    <w:top w:val="single" w:color="auto" w:sz="4" w:space="0"/>
                    <w:left w:val="single" w:color="auto" w:sz="4" w:space="0"/>
                    <w:right w:val="single" w:color="auto" w:sz="4" w:space="0"/>
                  </w:tcBorders>
                  <w:vAlign w:val="center"/>
                </w:tcPr>
                <w:p>
                  <w:pPr>
                    <w:pStyle w:val="20"/>
                  </w:pPr>
                  <w:r>
                    <w:rPr>
                      <w:rFonts w:hint="eastAsia"/>
                    </w:rPr>
                    <w:t>基础减振、建筑隔声</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-82.2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-48.6</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rPr>
                  </w:pPr>
                  <w:r>
                    <w:rPr>
                      <w:rFonts w:hint="eastAsia"/>
                      <w:lang w:val="en-US" w:eastAsia="zh-CN"/>
                    </w:rPr>
                    <w:t>74.5</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36.2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79.7</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55</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42.4</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48.6</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41.8</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45.0</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rPr>
                      <w:rFonts w:hint="eastAsia"/>
                    </w:rPr>
                    <w:t>连续</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15</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27.4</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33.6</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26.8</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30.0</w:t>
                  </w:r>
                </w:p>
              </w:tc>
              <w:tc>
                <w:tcPr>
                  <w:tcW w:w="0" w:type="auto"/>
                  <w:tcBorders>
                    <w:top w:val="single" w:color="auto" w:sz="4" w:space="0"/>
                    <w:left w:val="single" w:color="auto" w:sz="4" w:space="0"/>
                    <w:bottom w:val="single" w:color="auto" w:sz="4" w:space="0"/>
                    <w:right w:val="single" w:color="auto" w:sz="4" w:space="0"/>
                  </w:tcBorders>
                  <w:vAlign w:val="center"/>
                </w:tcPr>
                <w:p>
                  <w:pPr>
                    <w:pStyle w:val="20"/>
                  </w:pPr>
                  <w:r>
                    <w:t>1</w:t>
                  </w:r>
                  <w:r>
                    <w:rPr>
                      <w:rFonts w:hint="eastAsia"/>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2</w:t>
                  </w:r>
                </w:p>
              </w:tc>
              <w:tc>
                <w:tcPr>
                  <w:tcW w:w="0" w:type="auto"/>
                  <w:tcBorders>
                    <w:top w:val="single" w:color="auto" w:sz="4" w:space="0"/>
                    <w:left w:val="single" w:color="auto" w:sz="4" w:space="0"/>
                    <w:right w:val="single" w:color="auto" w:sz="4" w:space="0"/>
                  </w:tcBorders>
                  <w:vAlign w:val="center"/>
                </w:tcPr>
                <w:p>
                  <w:pPr>
                    <w:pStyle w:val="20"/>
                    <w:rPr>
                      <w:rFonts w:hint="eastAsia"/>
                    </w:rPr>
                  </w:pPr>
                  <w:r>
                    <w:rPr>
                      <w:rFonts w:hint="eastAsia"/>
                    </w:rPr>
                    <w:t>C1系统组装厂房</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系统组装生产线,</w:t>
                  </w:r>
                  <w:r>
                    <w:rPr>
                      <w:rFonts w:hint="eastAsia"/>
                      <w:lang w:val="en-US" w:eastAsia="zh-CN"/>
                    </w:rPr>
                    <w:t>1</w:t>
                  </w:r>
                  <w:r>
                    <w:rPr>
                      <w:rFonts w:hint="eastAsia"/>
                    </w:rPr>
                    <w:t>条（按点声源组预测）</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75（等效后：79.8)</w:t>
                  </w:r>
                </w:p>
              </w:tc>
              <w:tc>
                <w:tcPr>
                  <w:tcW w:w="0" w:type="auto"/>
                  <w:vMerge w:val="continue"/>
                  <w:tcBorders>
                    <w:left w:val="single" w:color="auto" w:sz="4" w:space="0"/>
                    <w:right w:val="single" w:color="auto" w:sz="4" w:space="0"/>
                  </w:tcBorders>
                  <w:vAlign w:val="center"/>
                </w:tcPr>
                <w:p>
                  <w:pPr>
                    <w:pStyle w:val="20"/>
                    <w:rPr>
                      <w:rFonts w:hint="eastAsia"/>
                    </w:rPr>
                  </w:pP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-116.2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-148.3</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115.2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51.2</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41.1</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47.0</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39.0</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30.8</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44.4</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rPr>
                  </w:pPr>
                  <w:r>
                    <w:rPr>
                      <w:rFonts w:hint="eastAsia"/>
                    </w:rPr>
                    <w:t>连续</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default"/>
                      <w:lang w:val="en-US" w:eastAsia="zh-CN"/>
                    </w:rPr>
                  </w:pPr>
                  <w:r>
                    <w:rPr>
                      <w:rFonts w:hint="eastAsia"/>
                      <w:lang w:val="en-US" w:eastAsia="zh-CN"/>
                    </w:rPr>
                    <w:t>15</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32.0</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24.0</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15.8</w:t>
                  </w:r>
                </w:p>
              </w:tc>
              <w:tc>
                <w:tcPr>
                  <w:tcW w:w="531" w:type="dxa"/>
                  <w:tcBorders>
                    <w:top w:val="single" w:color="auto" w:sz="4" w:space="0"/>
                    <w:left w:val="single" w:color="auto" w:sz="4" w:space="0"/>
                    <w:bottom w:val="single" w:color="auto" w:sz="4" w:space="0"/>
                    <w:right w:val="single" w:color="auto" w:sz="4" w:space="0"/>
                  </w:tcBorders>
                  <w:vAlign w:val="center"/>
                </w:tcPr>
                <w:p>
                  <w:pPr>
                    <w:pStyle w:val="20"/>
                    <w:rPr>
                      <w:rFonts w:hint="eastAsia"/>
                      <w:lang w:val="en-US" w:eastAsia="zh-CN"/>
                    </w:rPr>
                  </w:pPr>
                  <w:r>
                    <w:rPr>
                      <w:rFonts w:hint="eastAsia"/>
                      <w:lang w:val="en-US" w:eastAsia="zh-CN"/>
                    </w:rPr>
                    <w:t>29.4</w:t>
                  </w:r>
                </w:p>
              </w:tc>
              <w:tc>
                <w:tcPr>
                  <w:tcW w:w="0" w:type="auto"/>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val="en-US" w:eastAsia="zh-CN"/>
                    </w:rPr>
                  </w:pPr>
                  <w:r>
                    <w:rPr>
                      <w:rFonts w:hint="eastAsia"/>
                      <w:lang w:val="en-US" w:eastAsia="zh-CN"/>
                    </w:rPr>
                    <w:t>1</w:t>
                  </w:r>
                </w:p>
              </w:tc>
            </w:tr>
          </w:tbl>
          <w:p>
            <w:pPr>
              <w:ind w:firstLine="360"/>
            </w:pPr>
            <w:r>
              <w:rPr>
                <w:rFonts w:hint="eastAsia"/>
                <w:bCs/>
                <w:sz w:val="18"/>
                <w:szCs w:val="18"/>
              </w:rPr>
              <w:t>注：表中坐标以厂界中心（120.755493,30.325107）为坐标原点，正东向为X轴正方向，正北向为Y轴正方向</w:t>
            </w:r>
          </w:p>
        </w:tc>
      </w:tr>
    </w:tbl>
    <w:p>
      <w:pPr>
        <w:ind w:firstLine="420"/>
        <w:sectPr>
          <w:pgSz w:w="16838" w:h="11906" w:orient="landscape"/>
          <w:pgMar w:top="1800" w:right="1440" w:bottom="1800" w:left="1440" w:header="851" w:footer="992" w:gutter="0"/>
          <w:pgNumType w:fmt="decimal"/>
          <w:cols w:space="425" w:num="1"/>
          <w:docGrid w:type="lines" w:linePitch="312" w:charSpace="0"/>
        </w:sect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63" w:hRule="atLeast"/>
        </w:trPr>
        <w:tc>
          <w:tcPr>
            <w:tcW w:w="604" w:type="dxa"/>
          </w:tcPr>
          <w:p>
            <w:pPr>
              <w:ind w:firstLine="420"/>
            </w:pPr>
          </w:p>
        </w:tc>
        <w:tc>
          <w:tcPr>
            <w:tcW w:w="8116" w:type="dxa"/>
          </w:tcPr>
          <w:p>
            <w:pPr>
              <w:pStyle w:val="6"/>
            </w:pPr>
            <w:r>
              <w:t>4.4.2污染防治措施</w:t>
            </w:r>
          </w:p>
          <w:p>
            <w:pPr>
              <w:ind w:firstLine="420"/>
            </w:pPr>
            <w:r>
              <w:t>本环评要求企业必须高度重视，积极采取有效措施，对项目各噪声源进行有效治理：</w:t>
            </w:r>
          </w:p>
          <w:p>
            <w:pPr>
              <w:ind w:firstLine="420"/>
            </w:pPr>
            <w:r>
              <w:t>①合理布置车间，尽量将高噪声源布置在车间中央。</w:t>
            </w:r>
          </w:p>
          <w:p>
            <w:pPr>
              <w:ind w:firstLine="420"/>
            </w:pPr>
            <w:r>
              <w:t>②注意设备安装，安装中对高噪声设备须采取减震、隔震措施。</w:t>
            </w:r>
          </w:p>
          <w:p>
            <w:pPr>
              <w:ind w:firstLine="420"/>
            </w:pPr>
            <w:r>
              <w:t>③生产车间的墙壁、房顶应尽量采用吸声材料及隔声结构（墙壁、地面），并在生产期间门窗关闭。</w:t>
            </w:r>
          </w:p>
          <w:p>
            <w:pPr>
              <w:ind w:firstLine="420"/>
            </w:pPr>
            <w:r>
              <w:t>④设备保养，平时生产中加强对各设备的维修保养，对其主要磨损部位及时添加润滑油，确保设备处于良好的运转状态，杜绝因设备不正常运转时产生的高噪声现象。</w:t>
            </w:r>
          </w:p>
          <w:p>
            <w:pPr>
              <w:ind w:firstLine="420"/>
              <w:rPr>
                <w:snapToGrid w:val="0"/>
              </w:rPr>
            </w:pPr>
            <w:r>
              <w:t>⑤</w:t>
            </w:r>
            <w:r>
              <w:rPr>
                <w:rFonts w:hint="eastAsia"/>
              </w:rPr>
              <w:t>加强厂区绿化，</w:t>
            </w:r>
            <w:r>
              <w:t>加强对员工的环保教育，合理安排作业时间，文明操作，轻拿轻放。</w:t>
            </w:r>
          </w:p>
          <w:p>
            <w:pPr>
              <w:pStyle w:val="6"/>
            </w:pPr>
            <w:r>
              <w:t>4.4.3噪声达标情况分析</w:t>
            </w:r>
          </w:p>
          <w:p>
            <w:pPr>
              <w:ind w:firstLine="420"/>
            </w:pPr>
            <w:r>
              <w:t>为了尽量减少噪声对周边环境的影响，本评价要求车间内的设备应合理布置，并对该平面布置图下本项目生产车间噪声对厂界的噪声影响加以预测。</w:t>
            </w:r>
          </w:p>
          <w:p>
            <w:pPr>
              <w:ind w:firstLine="420"/>
            </w:pPr>
            <w:r>
              <w:t>（1）预测模式</w:t>
            </w:r>
          </w:p>
          <w:p>
            <w:pPr>
              <w:ind w:firstLine="420"/>
            </w:pPr>
            <w:r>
              <w:rPr>
                <w:rFonts w:hint="eastAsia"/>
              </w:rPr>
              <w:t>本项目主要噪声源均布置于室内。为了预测项目建成后噪声对外界的影响程度，根据本项目噪声源的特点和简化预测过程，本环评采用声导则工业噪声预测计算模式中的室内声源等效室外声源声功率级与噪声贡献值计算方法。</w:t>
            </w:r>
          </w:p>
          <w:p>
            <w:pPr>
              <w:ind w:firstLine="420"/>
            </w:pPr>
            <w:r>
              <w:rPr>
                <w:rFonts w:hint="eastAsia"/>
              </w:rPr>
              <w:t>①室内声源等效室外声源声功率级计算方法</w:t>
            </w:r>
          </w:p>
          <w:p>
            <w:pPr>
              <w:ind w:firstLine="420"/>
            </w:pPr>
            <w:r>
              <w:rPr>
                <w:rFonts w:hint="eastAsia"/>
              </w:rPr>
              <w:t>设靠近开口处（或窗户）室内、室外某倍频带的声压级分别为Lp1和Lp2。若声源所在室内声场为近似扩散声场，则室外的倍频带声压级可按公式（1）近似求出</w:t>
            </w:r>
            <w:r>
              <w:t>：</w:t>
            </w:r>
          </w:p>
          <w:p>
            <w:pPr>
              <w:spacing w:line="240" w:lineRule="auto"/>
              <w:ind w:firstLine="420"/>
            </w:pPr>
            <w:r>
              <w:t xml:space="preserve">                    </w:t>
            </w:r>
            <w:r>
              <w:rPr>
                <w:position w:val="-14"/>
              </w:rPr>
              <w:object>
                <v:shape id="_x0000_i1030" o:spt="75" type="#_x0000_t75" style="height:17.55pt;width:95.8pt;" o:ole="t" filled="f" o:preferrelative="t" stroked="f" coordsize="21600,21600">
                  <v:path/>
                  <v:fill on="f" focussize="0,0"/>
                  <v:stroke on="f" joinstyle="miter"/>
                  <v:imagedata r:id="rId54" o:title=""/>
                  <o:lock v:ext="edit" aspectratio="t"/>
                  <w10:wrap type="none"/>
                  <w10:anchorlock/>
                </v:shape>
                <o:OLEObject Type="Embed" ProgID="Equation.3" ShapeID="_x0000_i1030" DrawAspect="Content" ObjectID="_1468075730" r:id="rId53">
                  <o:LockedField>false</o:LockedField>
                </o:OLEObject>
              </w:object>
            </w:r>
            <w:r>
              <w:t xml:space="preserve">            （1）</w:t>
            </w:r>
          </w:p>
          <w:p>
            <w:pPr>
              <w:ind w:firstLine="420"/>
              <w:rPr>
                <w:b/>
              </w:rPr>
            </w:pPr>
            <w:r>
              <w:t>式中：TL——隔墙(或窗户)倍频带的隔声量，dB（A）。</w:t>
            </w:r>
          </w:p>
          <w:p>
            <w:pPr>
              <w:ind w:firstLine="420"/>
            </w:pPr>
            <w:r>
              <w:rPr>
                <w:rFonts w:hint="eastAsia"/>
              </w:rPr>
              <w:t>②单个室外声源的预测方法</w:t>
            </w:r>
          </w:p>
          <w:p>
            <w:pPr>
              <w:ind w:firstLine="420"/>
            </w:pPr>
            <w:r>
              <w:rPr>
                <w:rFonts w:hint="eastAsia"/>
              </w:rPr>
              <w:t>单个室外声源在预测点产生的声级计算公式如下：</w:t>
            </w:r>
          </w:p>
          <w:p>
            <w:pPr>
              <w:ind w:firstLine="420"/>
            </w:pPr>
            <w:r>
              <w:rPr>
                <w:rFonts w:hint="eastAsia"/>
              </w:rPr>
              <w:t>L</w:t>
            </w:r>
            <w:r>
              <w:rPr>
                <w:rFonts w:hint="eastAsia"/>
                <w:vertAlign w:val="subscript"/>
              </w:rPr>
              <w:t>p</w:t>
            </w:r>
            <w:r>
              <w:rPr>
                <w:rFonts w:hint="eastAsia"/>
              </w:rPr>
              <w:t>（r）=L</w:t>
            </w:r>
            <w:r>
              <w:rPr>
                <w:rFonts w:hint="eastAsia"/>
                <w:vertAlign w:val="subscript"/>
              </w:rPr>
              <w:t>p</w:t>
            </w:r>
            <w:r>
              <w:rPr>
                <w:rFonts w:hint="eastAsia"/>
              </w:rPr>
              <w:t>（r</w:t>
            </w:r>
            <w:r>
              <w:rPr>
                <w:rFonts w:hint="eastAsia"/>
                <w:vertAlign w:val="subscript"/>
              </w:rPr>
              <w:t>0</w:t>
            </w:r>
            <w:r>
              <w:rPr>
                <w:rFonts w:hint="eastAsia"/>
              </w:rPr>
              <w:t>）+D</w:t>
            </w:r>
            <w:r>
              <w:rPr>
                <w:rFonts w:hint="eastAsia"/>
                <w:vertAlign w:val="subscript"/>
              </w:rPr>
              <w:t>C</w:t>
            </w:r>
            <w:r>
              <w:rPr>
                <w:rFonts w:hint="eastAsia"/>
              </w:rPr>
              <w:t>-（A</w:t>
            </w:r>
            <w:r>
              <w:rPr>
                <w:rFonts w:hint="eastAsia"/>
                <w:vertAlign w:val="subscript"/>
              </w:rPr>
              <w:t>div</w:t>
            </w:r>
            <w:r>
              <w:rPr>
                <w:rFonts w:hint="eastAsia"/>
              </w:rPr>
              <w:t>+A</w:t>
            </w:r>
            <w:r>
              <w:rPr>
                <w:rFonts w:hint="eastAsia"/>
                <w:vertAlign w:val="subscript"/>
              </w:rPr>
              <w:t>atm</w:t>
            </w:r>
            <w:r>
              <w:rPr>
                <w:rFonts w:hint="eastAsia"/>
              </w:rPr>
              <w:t>+A</w:t>
            </w:r>
            <w:r>
              <w:rPr>
                <w:rFonts w:hint="eastAsia"/>
                <w:vertAlign w:val="subscript"/>
              </w:rPr>
              <w:t>gr</w:t>
            </w:r>
            <w:r>
              <w:rPr>
                <w:rFonts w:hint="eastAsia"/>
              </w:rPr>
              <w:t>+A</w:t>
            </w:r>
            <w:r>
              <w:rPr>
                <w:rFonts w:hint="eastAsia"/>
                <w:vertAlign w:val="subscript"/>
              </w:rPr>
              <w:t>bar</w:t>
            </w:r>
            <w:r>
              <w:rPr>
                <w:rFonts w:hint="eastAsia"/>
              </w:rPr>
              <w:t>+A</w:t>
            </w:r>
            <w:r>
              <w:rPr>
                <w:rFonts w:hint="eastAsia"/>
                <w:vertAlign w:val="subscript"/>
              </w:rPr>
              <w:t>misc</w:t>
            </w:r>
            <w:r>
              <w:rPr>
                <w:rFonts w:hint="eastAsia"/>
              </w:rPr>
              <w:t>）</w:t>
            </w:r>
          </w:p>
          <w:p>
            <w:pPr>
              <w:ind w:firstLine="420"/>
            </w:pPr>
            <w:r>
              <w:rPr>
                <w:rFonts w:hint="eastAsia"/>
              </w:rPr>
              <w:t>式中：L</w:t>
            </w:r>
            <w:r>
              <w:rPr>
                <w:rFonts w:hint="eastAsia"/>
                <w:vertAlign w:val="subscript"/>
              </w:rPr>
              <w:t>p</w:t>
            </w:r>
            <w:r>
              <w:rPr>
                <w:rFonts w:hint="eastAsia"/>
              </w:rPr>
              <w:t>（r）—预测点处的A声级，dB；</w:t>
            </w:r>
          </w:p>
          <w:p>
            <w:pPr>
              <w:ind w:firstLine="420"/>
            </w:pPr>
            <w:r>
              <w:rPr>
                <w:rFonts w:hint="eastAsia"/>
              </w:rPr>
              <w:t>L</w:t>
            </w:r>
            <w:r>
              <w:rPr>
                <w:rFonts w:hint="eastAsia"/>
                <w:vertAlign w:val="subscript"/>
              </w:rPr>
              <w:t>p</w:t>
            </w:r>
            <w:r>
              <w:rPr>
                <w:rFonts w:hint="eastAsia"/>
              </w:rPr>
              <w:t>（r0）—声源处的A声级，dB；</w:t>
            </w:r>
          </w:p>
          <w:p>
            <w:pPr>
              <w:ind w:firstLine="420"/>
            </w:pPr>
            <w:r>
              <w:rPr>
                <w:rFonts w:hint="eastAsia"/>
              </w:rPr>
              <w:t>D</w:t>
            </w:r>
            <w:r>
              <w:rPr>
                <w:rFonts w:hint="eastAsia"/>
                <w:vertAlign w:val="subscript"/>
              </w:rPr>
              <w:t>C</w:t>
            </w:r>
            <w:r>
              <w:rPr>
                <w:rFonts w:hint="eastAsia"/>
              </w:rPr>
              <w:t>—指向性校正，它描述点声源的等效连续声压级与产生声功率级L</w:t>
            </w:r>
            <w:r>
              <w:rPr>
                <w:rFonts w:hint="eastAsia"/>
                <w:vertAlign w:val="subscript"/>
              </w:rPr>
              <w:t>w</w:t>
            </w:r>
            <w:r>
              <w:rPr>
                <w:rFonts w:hint="eastAsia"/>
              </w:rPr>
              <w:t>的全向点声源在规定方向的声级的偏差程度，dB；</w:t>
            </w:r>
          </w:p>
          <w:p>
            <w:pPr>
              <w:ind w:firstLine="420"/>
            </w:pPr>
            <w:r>
              <w:rPr>
                <w:rFonts w:hint="eastAsia"/>
              </w:rPr>
              <w:t>A</w:t>
            </w:r>
            <w:r>
              <w:rPr>
                <w:rFonts w:hint="eastAsia"/>
                <w:vertAlign w:val="subscript"/>
              </w:rPr>
              <w:t>div</w:t>
            </w:r>
            <w:r>
              <w:rPr>
                <w:rFonts w:hint="eastAsia"/>
              </w:rPr>
              <w:t>—几何发散引起的衰减，dB；</w:t>
            </w:r>
          </w:p>
          <w:p>
            <w:pPr>
              <w:ind w:firstLine="420"/>
            </w:pPr>
            <w:r>
              <w:rPr>
                <w:rFonts w:hint="eastAsia"/>
              </w:rPr>
              <w:t>A</w:t>
            </w:r>
            <w:r>
              <w:rPr>
                <w:rFonts w:hint="eastAsia"/>
                <w:vertAlign w:val="subscript"/>
              </w:rPr>
              <w:t>atm</w:t>
            </w:r>
            <w:r>
              <w:rPr>
                <w:rFonts w:hint="eastAsia"/>
              </w:rPr>
              <w:t>—大气吸收引起的衰减，dB；</w:t>
            </w:r>
          </w:p>
          <w:p>
            <w:pPr>
              <w:ind w:firstLine="420"/>
            </w:pPr>
            <w:r>
              <w:rPr>
                <w:rFonts w:hint="eastAsia"/>
              </w:rPr>
              <w:t>A</w:t>
            </w:r>
            <w:r>
              <w:rPr>
                <w:rFonts w:hint="eastAsia"/>
                <w:vertAlign w:val="subscript"/>
              </w:rPr>
              <w:t>gr</w:t>
            </w:r>
            <w:r>
              <w:rPr>
                <w:rFonts w:hint="eastAsia"/>
              </w:rPr>
              <w:t>—地面效应引起的衰减，dB；</w:t>
            </w:r>
          </w:p>
          <w:p>
            <w:pPr>
              <w:ind w:firstLine="420"/>
            </w:pPr>
            <w:r>
              <w:rPr>
                <w:rFonts w:hint="eastAsia"/>
              </w:rPr>
              <w:t>A</w:t>
            </w:r>
            <w:r>
              <w:rPr>
                <w:rFonts w:hint="eastAsia"/>
                <w:vertAlign w:val="subscript"/>
              </w:rPr>
              <w:t>bar</w:t>
            </w:r>
            <w:r>
              <w:rPr>
                <w:rFonts w:hint="eastAsia"/>
              </w:rPr>
              <w:t>—声屏障引起的衰减，dB；</w:t>
            </w:r>
          </w:p>
          <w:p>
            <w:pPr>
              <w:ind w:firstLine="420"/>
            </w:pPr>
            <w:r>
              <w:rPr>
                <w:rFonts w:hint="eastAsia"/>
              </w:rPr>
              <w:t>A</w:t>
            </w:r>
            <w:r>
              <w:rPr>
                <w:rFonts w:hint="eastAsia"/>
                <w:vertAlign w:val="subscript"/>
              </w:rPr>
              <w:t>misc</w:t>
            </w:r>
            <w:r>
              <w:rPr>
                <w:rFonts w:hint="eastAsia"/>
              </w:rPr>
              <w:t>—其他多方面效应引起的衰减，dB。</w:t>
            </w:r>
          </w:p>
          <w:p>
            <w:pPr>
              <w:ind w:firstLine="420"/>
            </w:pPr>
            <w:r>
              <w:rPr>
                <w:rFonts w:hint="eastAsia"/>
              </w:rPr>
              <w:t>③噪声贡献值计算方法</w:t>
            </w:r>
          </w:p>
          <w:p>
            <w:pPr>
              <w:ind w:firstLine="420"/>
            </w:pPr>
            <w:r>
              <w:rPr>
                <w:rFonts w:hint="eastAsia"/>
              </w:rPr>
              <w:t>设第i个室外声源在预测点产生的A声级为L</w:t>
            </w:r>
            <w:r>
              <w:rPr>
                <w:rFonts w:hint="eastAsia"/>
                <w:vertAlign w:val="subscript"/>
              </w:rPr>
              <w:t>Ai</w:t>
            </w:r>
            <w:r>
              <w:rPr>
                <w:rFonts w:hint="eastAsia"/>
              </w:rPr>
              <w:t>，在T时间内该声源工作时间为t</w:t>
            </w:r>
            <w:r>
              <w:rPr>
                <w:rFonts w:hint="eastAsia"/>
                <w:vertAlign w:val="subscript"/>
              </w:rPr>
              <w:t>i</w:t>
            </w:r>
            <w:r>
              <w:rPr>
                <w:rFonts w:hint="eastAsia"/>
              </w:rPr>
              <w:t>；第j个等效室外声源在预测点产生的A声级为LA</w:t>
            </w:r>
            <w:r>
              <w:rPr>
                <w:rFonts w:hint="eastAsia"/>
                <w:vertAlign w:val="subscript"/>
              </w:rPr>
              <w:t>j</w:t>
            </w:r>
            <w:r>
              <w:rPr>
                <w:rFonts w:hint="eastAsia"/>
              </w:rPr>
              <w:t>，在T时间内该声源工作时间为t</w:t>
            </w:r>
            <w:r>
              <w:rPr>
                <w:rFonts w:hint="eastAsia"/>
                <w:vertAlign w:val="subscript"/>
              </w:rPr>
              <w:t>j</w:t>
            </w:r>
            <w:r>
              <w:rPr>
                <w:rFonts w:hint="eastAsia"/>
              </w:rPr>
              <w:t>，则拟建工程声源对预测点产生的贡献值（L</w:t>
            </w:r>
            <w:r>
              <w:rPr>
                <w:rFonts w:hint="eastAsia"/>
                <w:vertAlign w:val="subscript"/>
              </w:rPr>
              <w:t>eqg</w:t>
            </w:r>
            <w:r>
              <w:rPr>
                <w:rFonts w:hint="eastAsia"/>
              </w:rPr>
              <w:t>）为：</w:t>
            </w:r>
          </w:p>
          <w:p>
            <w:pPr>
              <w:spacing w:line="240" w:lineRule="auto"/>
              <w:ind w:firstLine="420"/>
              <w:jc w:val="center"/>
            </w:pPr>
            <w:r>
              <w:drawing>
                <wp:inline distT="0" distB="0" distL="114300" distR="114300">
                  <wp:extent cx="2052320" cy="368300"/>
                  <wp:effectExtent l="0" t="0" r="5080" b="0"/>
                  <wp:docPr id="4" name="图片 14"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图片包含 图示&#10;&#10;描述已自动生成"/>
                          <pic:cNvPicPr>
                            <a:picLocks noChangeAspect="1"/>
                          </pic:cNvPicPr>
                        </pic:nvPicPr>
                        <pic:blipFill>
                          <a:blip r:embed="rId55"/>
                          <a:stretch>
                            <a:fillRect/>
                          </a:stretch>
                        </pic:blipFill>
                        <pic:spPr>
                          <a:xfrm>
                            <a:off x="0" y="0"/>
                            <a:ext cx="2052320" cy="368300"/>
                          </a:xfrm>
                          <a:prstGeom prst="rect">
                            <a:avLst/>
                          </a:prstGeom>
                          <a:noFill/>
                          <a:ln>
                            <a:noFill/>
                          </a:ln>
                        </pic:spPr>
                      </pic:pic>
                    </a:graphicData>
                  </a:graphic>
                </wp:inline>
              </w:drawing>
            </w:r>
            <w:r>
              <w:t xml:space="preserve">  </w:t>
            </w:r>
            <w:r>
              <w:rPr>
                <w:rFonts w:hint="eastAsia"/>
              </w:rPr>
              <w:t xml:space="preserve">     </w:t>
            </w:r>
            <w:r>
              <w:t xml:space="preserve"> </w:t>
            </w:r>
            <w:r>
              <w:rPr>
                <w:rFonts w:hint="eastAsia"/>
              </w:rPr>
              <w:t xml:space="preserve">  （6）</w:t>
            </w:r>
          </w:p>
          <w:p>
            <w:pPr>
              <w:ind w:firstLine="420"/>
            </w:pPr>
            <w:r>
              <w:rPr>
                <w:rFonts w:hint="eastAsia"/>
              </w:rPr>
              <w:t>式中：t</w:t>
            </w:r>
            <w:r>
              <w:rPr>
                <w:rFonts w:hint="eastAsia"/>
                <w:vertAlign w:val="subscript"/>
              </w:rPr>
              <w:t>j</w:t>
            </w:r>
            <w:r>
              <w:rPr>
                <w:rFonts w:hint="eastAsia"/>
              </w:rPr>
              <w:t>——在T时间内j声源工作时间，s；</w:t>
            </w:r>
          </w:p>
          <w:p>
            <w:pPr>
              <w:ind w:firstLine="1050" w:firstLineChars="500"/>
            </w:pPr>
            <w:r>
              <w:rPr>
                <w:rFonts w:hint="eastAsia"/>
              </w:rPr>
              <w:t>t</w:t>
            </w:r>
            <w:r>
              <w:rPr>
                <w:rFonts w:hint="eastAsia"/>
                <w:vertAlign w:val="subscript"/>
              </w:rPr>
              <w:t>i</w:t>
            </w:r>
            <w:r>
              <w:rPr>
                <w:rFonts w:hint="eastAsia"/>
              </w:rPr>
              <w:t>——在T时间内i声源工作时间，s；</w:t>
            </w:r>
          </w:p>
          <w:p>
            <w:pPr>
              <w:ind w:firstLine="1050" w:firstLineChars="500"/>
            </w:pPr>
            <w:r>
              <w:rPr>
                <w:rFonts w:hint="eastAsia"/>
              </w:rPr>
              <w:t>T——用于计算等效声级的时间，s；</w:t>
            </w:r>
          </w:p>
          <w:p>
            <w:pPr>
              <w:ind w:firstLine="1050" w:firstLineChars="500"/>
            </w:pPr>
            <w:r>
              <w:rPr>
                <w:rFonts w:hint="eastAsia"/>
              </w:rPr>
              <w:t>N——室外声源个数；</w:t>
            </w:r>
          </w:p>
          <w:p>
            <w:pPr>
              <w:ind w:firstLine="1050" w:firstLineChars="500"/>
            </w:pPr>
            <w:r>
              <w:rPr>
                <w:rFonts w:hint="eastAsia"/>
              </w:rPr>
              <w:t>M——等效室外声源个数。</w:t>
            </w:r>
          </w:p>
          <w:p>
            <w:pPr>
              <w:ind w:firstLine="420"/>
            </w:pPr>
            <w:r>
              <w:t>（2）预测结果</w:t>
            </w:r>
          </w:p>
          <w:p>
            <w:pPr>
              <w:pStyle w:val="2"/>
              <w:ind w:firstLine="420"/>
              <w:rPr>
                <w:rFonts w:ascii="Times New Roman" w:hAnsi="Times New Roman"/>
              </w:rPr>
            </w:pPr>
            <w:r>
              <w:rPr>
                <w:rFonts w:hint="eastAsia" w:ascii="Times New Roman" w:hAnsi="Times New Roman"/>
              </w:rPr>
              <w:t>本项目生产班制为24h工作制，本环评预测昼间和夜间生产噪声对周围环境的影响，则本项目厂界噪声预测评价结果见表4.4-3。</w:t>
            </w:r>
          </w:p>
          <w:p>
            <w:pPr>
              <w:ind w:firstLine="0" w:firstLineChars="0"/>
              <w:jc w:val="center"/>
              <w:rPr>
                <w:b/>
                <w:bCs/>
                <w:highlight w:val="none"/>
              </w:rPr>
            </w:pPr>
            <w:r>
              <w:rPr>
                <w:b/>
                <w:bCs/>
                <w:highlight w:val="none"/>
              </w:rPr>
              <w:t>表</w:t>
            </w:r>
            <w:r>
              <w:rPr>
                <w:rFonts w:hint="eastAsia"/>
                <w:b/>
                <w:bCs/>
                <w:highlight w:val="none"/>
              </w:rPr>
              <w:t xml:space="preserve">4.4-3  </w:t>
            </w:r>
            <w:r>
              <w:rPr>
                <w:b/>
                <w:bCs/>
                <w:highlight w:val="none"/>
              </w:rPr>
              <w:t>本项目</w:t>
            </w:r>
            <w:r>
              <w:rPr>
                <w:rFonts w:hint="eastAsia"/>
                <w:b/>
                <w:bCs/>
                <w:highlight w:val="none"/>
              </w:rPr>
              <w:t>厂界</w:t>
            </w:r>
            <w:r>
              <w:rPr>
                <w:b/>
                <w:bCs/>
                <w:highlight w:val="none"/>
              </w:rPr>
              <w:t>声环境影响预测结果    单位： dB(A)</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034"/>
              <w:gridCol w:w="1232"/>
              <w:gridCol w:w="617"/>
              <w:gridCol w:w="617"/>
              <w:gridCol w:w="617"/>
              <w:gridCol w:w="617"/>
              <w:gridCol w:w="617"/>
              <w:gridCol w:w="617"/>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26" w:type="dxa"/>
                  <w:vMerge w:val="restart"/>
                  <w:vAlign w:val="center"/>
                </w:tcPr>
                <w:p>
                  <w:pPr>
                    <w:pStyle w:val="20"/>
                    <w:rPr>
                      <w:highlight w:val="none"/>
                    </w:rPr>
                  </w:pPr>
                  <w:r>
                    <w:rPr>
                      <w:highlight w:val="none"/>
                    </w:rPr>
                    <w:t>预测点</w:t>
                  </w:r>
                </w:p>
              </w:tc>
              <w:tc>
                <w:tcPr>
                  <w:tcW w:w="1034" w:type="dxa"/>
                  <w:vMerge w:val="restart"/>
                  <w:vAlign w:val="center"/>
                </w:tcPr>
                <w:p>
                  <w:pPr>
                    <w:pStyle w:val="20"/>
                    <w:rPr>
                      <w:highlight w:val="none"/>
                    </w:rPr>
                  </w:pPr>
                  <w:r>
                    <w:rPr>
                      <w:highlight w:val="none"/>
                    </w:rPr>
                    <w:t>位置</w:t>
                  </w:r>
                </w:p>
              </w:tc>
              <w:tc>
                <w:tcPr>
                  <w:tcW w:w="1232" w:type="dxa"/>
                  <w:vAlign w:val="center"/>
                </w:tcPr>
                <w:p>
                  <w:pPr>
                    <w:pStyle w:val="20"/>
                    <w:rPr>
                      <w:highlight w:val="none"/>
                    </w:rPr>
                  </w:pPr>
                  <w:r>
                    <w:rPr>
                      <w:rFonts w:hint="eastAsia"/>
                      <w:highlight w:val="none"/>
                    </w:rPr>
                    <w:t>贡献值</w:t>
                  </w:r>
                </w:p>
              </w:tc>
              <w:tc>
                <w:tcPr>
                  <w:tcW w:w="1234" w:type="dxa"/>
                  <w:gridSpan w:val="2"/>
                  <w:vAlign w:val="center"/>
                </w:tcPr>
                <w:p>
                  <w:pPr>
                    <w:pStyle w:val="20"/>
                    <w:rPr>
                      <w:highlight w:val="none"/>
                    </w:rPr>
                  </w:pPr>
                  <w:r>
                    <w:rPr>
                      <w:rFonts w:hint="eastAsia"/>
                      <w:highlight w:val="none"/>
                    </w:rPr>
                    <w:t>背景值</w:t>
                  </w:r>
                </w:p>
              </w:tc>
              <w:tc>
                <w:tcPr>
                  <w:tcW w:w="1234" w:type="dxa"/>
                  <w:gridSpan w:val="2"/>
                  <w:vAlign w:val="center"/>
                </w:tcPr>
                <w:p>
                  <w:pPr>
                    <w:pStyle w:val="20"/>
                    <w:rPr>
                      <w:highlight w:val="none"/>
                    </w:rPr>
                  </w:pPr>
                  <w:r>
                    <w:rPr>
                      <w:rFonts w:hint="eastAsia"/>
                      <w:highlight w:val="none"/>
                    </w:rPr>
                    <w:t>预测值</w:t>
                  </w:r>
                </w:p>
              </w:tc>
              <w:tc>
                <w:tcPr>
                  <w:tcW w:w="1234" w:type="dxa"/>
                  <w:gridSpan w:val="2"/>
                  <w:vAlign w:val="center"/>
                </w:tcPr>
                <w:p>
                  <w:pPr>
                    <w:pStyle w:val="20"/>
                    <w:rPr>
                      <w:highlight w:val="none"/>
                    </w:rPr>
                  </w:pPr>
                  <w:r>
                    <w:rPr>
                      <w:highlight w:val="none"/>
                    </w:rPr>
                    <w:t>标准值</w:t>
                  </w:r>
                </w:p>
              </w:tc>
              <w:tc>
                <w:tcPr>
                  <w:tcW w:w="796" w:type="dxa"/>
                  <w:vMerge w:val="restart"/>
                  <w:vAlign w:val="center"/>
                </w:tcPr>
                <w:p>
                  <w:pPr>
                    <w:pStyle w:val="20"/>
                    <w:rPr>
                      <w:highlight w:val="none"/>
                    </w:rPr>
                  </w:pPr>
                  <w:r>
                    <w:rPr>
                      <w:highlight w:val="none"/>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26" w:type="dxa"/>
                  <w:vMerge w:val="continue"/>
                  <w:vAlign w:val="center"/>
                </w:tcPr>
                <w:p>
                  <w:pPr>
                    <w:pStyle w:val="20"/>
                    <w:rPr>
                      <w:highlight w:val="none"/>
                    </w:rPr>
                  </w:pPr>
                </w:p>
              </w:tc>
              <w:tc>
                <w:tcPr>
                  <w:tcW w:w="1034" w:type="dxa"/>
                  <w:vMerge w:val="continue"/>
                  <w:vAlign w:val="center"/>
                </w:tcPr>
                <w:p>
                  <w:pPr>
                    <w:pStyle w:val="20"/>
                    <w:rPr>
                      <w:highlight w:val="none"/>
                    </w:rPr>
                  </w:pPr>
                </w:p>
              </w:tc>
              <w:tc>
                <w:tcPr>
                  <w:tcW w:w="1232" w:type="dxa"/>
                  <w:vAlign w:val="center"/>
                </w:tcPr>
                <w:p>
                  <w:pPr>
                    <w:pStyle w:val="20"/>
                    <w:rPr>
                      <w:highlight w:val="none"/>
                    </w:rPr>
                  </w:pPr>
                  <w:r>
                    <w:rPr>
                      <w:rFonts w:hint="eastAsia"/>
                      <w:highlight w:val="none"/>
                    </w:rPr>
                    <w:t>/</w:t>
                  </w:r>
                </w:p>
              </w:tc>
              <w:tc>
                <w:tcPr>
                  <w:tcW w:w="617" w:type="dxa"/>
                  <w:vAlign w:val="center"/>
                </w:tcPr>
                <w:p>
                  <w:pPr>
                    <w:pStyle w:val="20"/>
                    <w:rPr>
                      <w:highlight w:val="none"/>
                    </w:rPr>
                  </w:pPr>
                  <w:r>
                    <w:rPr>
                      <w:highlight w:val="none"/>
                    </w:rPr>
                    <w:t>昼间</w:t>
                  </w:r>
                </w:p>
              </w:tc>
              <w:tc>
                <w:tcPr>
                  <w:tcW w:w="617" w:type="dxa"/>
                  <w:vAlign w:val="center"/>
                </w:tcPr>
                <w:p>
                  <w:pPr>
                    <w:pStyle w:val="20"/>
                    <w:rPr>
                      <w:highlight w:val="none"/>
                    </w:rPr>
                  </w:pPr>
                  <w:r>
                    <w:rPr>
                      <w:rFonts w:hint="eastAsia"/>
                      <w:highlight w:val="none"/>
                    </w:rPr>
                    <w:t>夜</w:t>
                  </w:r>
                  <w:r>
                    <w:rPr>
                      <w:highlight w:val="none"/>
                    </w:rPr>
                    <w:t>间</w:t>
                  </w:r>
                </w:p>
              </w:tc>
              <w:tc>
                <w:tcPr>
                  <w:tcW w:w="617" w:type="dxa"/>
                  <w:vAlign w:val="center"/>
                </w:tcPr>
                <w:p>
                  <w:pPr>
                    <w:pStyle w:val="20"/>
                    <w:rPr>
                      <w:highlight w:val="none"/>
                    </w:rPr>
                  </w:pPr>
                  <w:r>
                    <w:rPr>
                      <w:highlight w:val="none"/>
                    </w:rPr>
                    <w:t>昼间</w:t>
                  </w:r>
                </w:p>
              </w:tc>
              <w:tc>
                <w:tcPr>
                  <w:tcW w:w="617" w:type="dxa"/>
                  <w:vAlign w:val="center"/>
                </w:tcPr>
                <w:p>
                  <w:pPr>
                    <w:pStyle w:val="20"/>
                    <w:rPr>
                      <w:highlight w:val="none"/>
                    </w:rPr>
                  </w:pPr>
                  <w:r>
                    <w:rPr>
                      <w:rFonts w:hint="eastAsia"/>
                      <w:highlight w:val="none"/>
                    </w:rPr>
                    <w:t>夜</w:t>
                  </w:r>
                  <w:r>
                    <w:rPr>
                      <w:highlight w:val="none"/>
                    </w:rPr>
                    <w:t>间</w:t>
                  </w:r>
                </w:p>
              </w:tc>
              <w:tc>
                <w:tcPr>
                  <w:tcW w:w="617" w:type="dxa"/>
                  <w:vAlign w:val="center"/>
                </w:tcPr>
                <w:p>
                  <w:pPr>
                    <w:pStyle w:val="20"/>
                    <w:rPr>
                      <w:highlight w:val="none"/>
                    </w:rPr>
                  </w:pPr>
                  <w:r>
                    <w:rPr>
                      <w:highlight w:val="none"/>
                    </w:rPr>
                    <w:t>昼间</w:t>
                  </w:r>
                </w:p>
              </w:tc>
              <w:tc>
                <w:tcPr>
                  <w:tcW w:w="617" w:type="dxa"/>
                  <w:vAlign w:val="center"/>
                </w:tcPr>
                <w:p>
                  <w:pPr>
                    <w:pStyle w:val="20"/>
                    <w:rPr>
                      <w:highlight w:val="none"/>
                    </w:rPr>
                  </w:pPr>
                  <w:r>
                    <w:rPr>
                      <w:rFonts w:hint="eastAsia"/>
                      <w:highlight w:val="none"/>
                    </w:rPr>
                    <w:t>夜</w:t>
                  </w:r>
                  <w:r>
                    <w:rPr>
                      <w:highlight w:val="none"/>
                    </w:rPr>
                    <w:t>间</w:t>
                  </w:r>
                </w:p>
              </w:tc>
              <w:tc>
                <w:tcPr>
                  <w:tcW w:w="796" w:type="dxa"/>
                  <w:vMerge w:val="continue"/>
                  <w:vAlign w:val="center"/>
                </w:tcPr>
                <w:p>
                  <w:pPr>
                    <w:pStyle w:val="20"/>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Align w:val="center"/>
                </w:tcPr>
                <w:p>
                  <w:pPr>
                    <w:pStyle w:val="20"/>
                    <w:rPr>
                      <w:highlight w:val="none"/>
                    </w:rPr>
                  </w:pPr>
                  <w:r>
                    <w:rPr>
                      <w:highlight w:val="none"/>
                    </w:rPr>
                    <w:t>1#</w:t>
                  </w:r>
                </w:p>
              </w:tc>
              <w:tc>
                <w:tcPr>
                  <w:tcW w:w="1034" w:type="dxa"/>
                  <w:vAlign w:val="center"/>
                </w:tcPr>
                <w:p>
                  <w:pPr>
                    <w:pStyle w:val="20"/>
                    <w:rPr>
                      <w:highlight w:val="none"/>
                    </w:rPr>
                  </w:pPr>
                  <w:r>
                    <w:rPr>
                      <w:highlight w:val="none"/>
                    </w:rPr>
                    <w:t>厂界东</w:t>
                  </w:r>
                </w:p>
              </w:tc>
              <w:tc>
                <w:tcPr>
                  <w:tcW w:w="1232" w:type="dxa"/>
                  <w:vAlign w:val="center"/>
                </w:tcPr>
                <w:p>
                  <w:pPr>
                    <w:pStyle w:val="20"/>
                    <w:rPr>
                      <w:rFonts w:hint="default"/>
                      <w:highlight w:val="none"/>
                      <w:lang w:val="en-US" w:eastAsia="zh-CN"/>
                    </w:rPr>
                  </w:pPr>
                  <w:r>
                    <w:rPr>
                      <w:rFonts w:hint="eastAsia"/>
                      <w:highlight w:val="none"/>
                      <w:lang w:val="en-US" w:eastAsia="zh-CN"/>
                    </w:rPr>
                    <w:t>46.7</w:t>
                  </w:r>
                </w:p>
              </w:tc>
              <w:tc>
                <w:tcPr>
                  <w:tcW w:w="617" w:type="dxa"/>
                  <w:vAlign w:val="center"/>
                </w:tcPr>
                <w:p>
                  <w:pPr>
                    <w:pStyle w:val="20"/>
                    <w:rPr>
                      <w:highlight w:val="none"/>
                    </w:rPr>
                  </w:pPr>
                  <w:r>
                    <w:rPr>
                      <w:rFonts w:hint="eastAsia"/>
                      <w:highlight w:val="none"/>
                      <w:lang w:val="en-US" w:eastAsia="zh-CN"/>
                    </w:rPr>
                    <w:t>57</w:t>
                  </w:r>
                </w:p>
              </w:tc>
              <w:tc>
                <w:tcPr>
                  <w:tcW w:w="617" w:type="dxa"/>
                  <w:vAlign w:val="center"/>
                </w:tcPr>
                <w:p>
                  <w:pPr>
                    <w:pStyle w:val="20"/>
                    <w:rPr>
                      <w:highlight w:val="none"/>
                    </w:rPr>
                  </w:pPr>
                  <w:r>
                    <w:rPr>
                      <w:rFonts w:hint="eastAsia"/>
                      <w:highlight w:val="none"/>
                      <w:lang w:val="en-US" w:eastAsia="zh-CN"/>
                    </w:rPr>
                    <w:t>48</w:t>
                  </w:r>
                </w:p>
              </w:tc>
              <w:tc>
                <w:tcPr>
                  <w:tcW w:w="617" w:type="dxa"/>
                  <w:vAlign w:val="center"/>
                </w:tcPr>
                <w:p>
                  <w:pPr>
                    <w:pStyle w:val="20"/>
                    <w:rPr>
                      <w:highlight w:val="none"/>
                    </w:rPr>
                  </w:pPr>
                  <w:r>
                    <w:rPr>
                      <w:rFonts w:hint="eastAsia"/>
                      <w:highlight w:val="none"/>
                      <w:lang w:val="en-US" w:eastAsia="zh-CN"/>
                    </w:rPr>
                    <w:t>57.4</w:t>
                  </w:r>
                </w:p>
              </w:tc>
              <w:tc>
                <w:tcPr>
                  <w:tcW w:w="617" w:type="dxa"/>
                  <w:vAlign w:val="center"/>
                </w:tcPr>
                <w:p>
                  <w:pPr>
                    <w:pStyle w:val="20"/>
                    <w:rPr>
                      <w:highlight w:val="none"/>
                    </w:rPr>
                  </w:pPr>
                  <w:r>
                    <w:rPr>
                      <w:rFonts w:hint="eastAsia"/>
                      <w:highlight w:val="none"/>
                      <w:lang w:val="en-US" w:eastAsia="zh-CN"/>
                    </w:rPr>
                    <w:t>50.4</w:t>
                  </w:r>
                </w:p>
              </w:tc>
              <w:tc>
                <w:tcPr>
                  <w:tcW w:w="617" w:type="dxa"/>
                  <w:vAlign w:val="center"/>
                </w:tcPr>
                <w:p>
                  <w:pPr>
                    <w:pStyle w:val="20"/>
                    <w:rPr>
                      <w:highlight w:val="none"/>
                    </w:rPr>
                  </w:pPr>
                  <w:r>
                    <w:rPr>
                      <w:highlight w:val="none"/>
                    </w:rPr>
                    <w:t>65</w:t>
                  </w:r>
                </w:p>
              </w:tc>
              <w:tc>
                <w:tcPr>
                  <w:tcW w:w="617" w:type="dxa"/>
                  <w:vAlign w:val="center"/>
                </w:tcPr>
                <w:p>
                  <w:pPr>
                    <w:pStyle w:val="20"/>
                    <w:rPr>
                      <w:highlight w:val="none"/>
                    </w:rPr>
                  </w:pPr>
                  <w:r>
                    <w:rPr>
                      <w:highlight w:val="none"/>
                    </w:rPr>
                    <w:t>55</w:t>
                  </w:r>
                </w:p>
              </w:tc>
              <w:tc>
                <w:tcPr>
                  <w:tcW w:w="796" w:type="dxa"/>
                  <w:vAlign w:val="center"/>
                </w:tcPr>
                <w:p>
                  <w:pPr>
                    <w:pStyle w:val="20"/>
                    <w:rPr>
                      <w:highlight w:val="none"/>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Align w:val="center"/>
                </w:tcPr>
                <w:p>
                  <w:pPr>
                    <w:pStyle w:val="20"/>
                    <w:rPr>
                      <w:highlight w:val="none"/>
                    </w:rPr>
                  </w:pPr>
                  <w:r>
                    <w:rPr>
                      <w:highlight w:val="none"/>
                    </w:rPr>
                    <w:t>2#</w:t>
                  </w:r>
                </w:p>
              </w:tc>
              <w:tc>
                <w:tcPr>
                  <w:tcW w:w="1034" w:type="dxa"/>
                  <w:vAlign w:val="center"/>
                </w:tcPr>
                <w:p>
                  <w:pPr>
                    <w:pStyle w:val="20"/>
                    <w:rPr>
                      <w:highlight w:val="none"/>
                    </w:rPr>
                  </w:pPr>
                  <w:r>
                    <w:rPr>
                      <w:highlight w:val="none"/>
                    </w:rPr>
                    <w:t>厂界南</w:t>
                  </w:r>
                </w:p>
              </w:tc>
              <w:tc>
                <w:tcPr>
                  <w:tcW w:w="1232" w:type="dxa"/>
                  <w:vAlign w:val="center"/>
                </w:tcPr>
                <w:p>
                  <w:pPr>
                    <w:pStyle w:val="20"/>
                    <w:rPr>
                      <w:rFonts w:hint="default"/>
                      <w:highlight w:val="none"/>
                      <w:lang w:val="en-US" w:eastAsia="zh-CN"/>
                    </w:rPr>
                  </w:pPr>
                  <w:r>
                    <w:rPr>
                      <w:rFonts w:hint="eastAsia"/>
                      <w:highlight w:val="none"/>
                      <w:lang w:val="en-US" w:eastAsia="zh-CN"/>
                    </w:rPr>
                    <w:t>45.6</w:t>
                  </w:r>
                </w:p>
              </w:tc>
              <w:tc>
                <w:tcPr>
                  <w:tcW w:w="617" w:type="dxa"/>
                  <w:vAlign w:val="center"/>
                </w:tcPr>
                <w:p>
                  <w:pPr>
                    <w:pStyle w:val="20"/>
                    <w:rPr>
                      <w:highlight w:val="none"/>
                    </w:rPr>
                  </w:pPr>
                  <w:r>
                    <w:rPr>
                      <w:rFonts w:hint="eastAsia"/>
                      <w:highlight w:val="none"/>
                      <w:lang w:val="en-US" w:eastAsia="zh-CN"/>
                    </w:rPr>
                    <w:t>59</w:t>
                  </w:r>
                </w:p>
              </w:tc>
              <w:tc>
                <w:tcPr>
                  <w:tcW w:w="617" w:type="dxa"/>
                  <w:vAlign w:val="center"/>
                </w:tcPr>
                <w:p>
                  <w:pPr>
                    <w:pStyle w:val="20"/>
                    <w:rPr>
                      <w:highlight w:val="none"/>
                    </w:rPr>
                  </w:pPr>
                  <w:r>
                    <w:rPr>
                      <w:rFonts w:hint="eastAsia"/>
                      <w:highlight w:val="none"/>
                      <w:lang w:val="en-US" w:eastAsia="zh-CN"/>
                    </w:rPr>
                    <w:t>50</w:t>
                  </w:r>
                </w:p>
              </w:tc>
              <w:tc>
                <w:tcPr>
                  <w:tcW w:w="617" w:type="dxa"/>
                  <w:vAlign w:val="center"/>
                </w:tcPr>
                <w:p>
                  <w:pPr>
                    <w:pStyle w:val="20"/>
                    <w:rPr>
                      <w:highlight w:val="none"/>
                    </w:rPr>
                  </w:pPr>
                  <w:r>
                    <w:rPr>
                      <w:rFonts w:hint="eastAsia"/>
                      <w:highlight w:val="none"/>
                      <w:lang w:val="en-US" w:eastAsia="zh-CN"/>
                    </w:rPr>
                    <w:t>59.2</w:t>
                  </w:r>
                </w:p>
              </w:tc>
              <w:tc>
                <w:tcPr>
                  <w:tcW w:w="617" w:type="dxa"/>
                  <w:vAlign w:val="center"/>
                </w:tcPr>
                <w:p>
                  <w:pPr>
                    <w:pStyle w:val="20"/>
                    <w:rPr>
                      <w:highlight w:val="none"/>
                    </w:rPr>
                  </w:pPr>
                  <w:r>
                    <w:rPr>
                      <w:rFonts w:hint="eastAsia"/>
                      <w:highlight w:val="none"/>
                      <w:lang w:val="en-US" w:eastAsia="zh-CN"/>
                    </w:rPr>
                    <w:t>51.3</w:t>
                  </w:r>
                </w:p>
              </w:tc>
              <w:tc>
                <w:tcPr>
                  <w:tcW w:w="617" w:type="dxa"/>
                  <w:vAlign w:val="center"/>
                </w:tcPr>
                <w:p>
                  <w:pPr>
                    <w:pStyle w:val="20"/>
                    <w:rPr>
                      <w:highlight w:val="none"/>
                    </w:rPr>
                  </w:pPr>
                  <w:r>
                    <w:rPr>
                      <w:highlight w:val="none"/>
                    </w:rPr>
                    <w:t>65</w:t>
                  </w:r>
                </w:p>
              </w:tc>
              <w:tc>
                <w:tcPr>
                  <w:tcW w:w="617" w:type="dxa"/>
                  <w:vAlign w:val="center"/>
                </w:tcPr>
                <w:p>
                  <w:pPr>
                    <w:pStyle w:val="20"/>
                    <w:rPr>
                      <w:highlight w:val="none"/>
                    </w:rPr>
                  </w:pPr>
                  <w:r>
                    <w:rPr>
                      <w:highlight w:val="none"/>
                    </w:rPr>
                    <w:t>55</w:t>
                  </w:r>
                </w:p>
              </w:tc>
              <w:tc>
                <w:tcPr>
                  <w:tcW w:w="796" w:type="dxa"/>
                  <w:vAlign w:val="center"/>
                </w:tcPr>
                <w:p>
                  <w:pPr>
                    <w:pStyle w:val="20"/>
                    <w:rPr>
                      <w:highlight w:val="none"/>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Align w:val="center"/>
                </w:tcPr>
                <w:p>
                  <w:pPr>
                    <w:pStyle w:val="20"/>
                    <w:rPr>
                      <w:highlight w:val="none"/>
                    </w:rPr>
                  </w:pPr>
                  <w:r>
                    <w:rPr>
                      <w:highlight w:val="none"/>
                    </w:rPr>
                    <w:t>3#</w:t>
                  </w:r>
                </w:p>
              </w:tc>
              <w:tc>
                <w:tcPr>
                  <w:tcW w:w="1034" w:type="dxa"/>
                  <w:vAlign w:val="center"/>
                </w:tcPr>
                <w:p>
                  <w:pPr>
                    <w:pStyle w:val="20"/>
                    <w:rPr>
                      <w:highlight w:val="none"/>
                    </w:rPr>
                  </w:pPr>
                  <w:r>
                    <w:rPr>
                      <w:highlight w:val="none"/>
                    </w:rPr>
                    <w:t>厂界西</w:t>
                  </w:r>
                </w:p>
              </w:tc>
              <w:tc>
                <w:tcPr>
                  <w:tcW w:w="1232" w:type="dxa"/>
                  <w:vAlign w:val="center"/>
                </w:tcPr>
                <w:p>
                  <w:pPr>
                    <w:pStyle w:val="20"/>
                    <w:rPr>
                      <w:rFonts w:hint="default"/>
                      <w:highlight w:val="none"/>
                      <w:lang w:val="en-US" w:eastAsia="zh-CN"/>
                    </w:rPr>
                  </w:pPr>
                  <w:r>
                    <w:rPr>
                      <w:rFonts w:hint="eastAsia"/>
                      <w:highlight w:val="none"/>
                      <w:lang w:val="en-US" w:eastAsia="zh-CN"/>
                    </w:rPr>
                    <w:t>42.7</w:t>
                  </w:r>
                </w:p>
              </w:tc>
              <w:tc>
                <w:tcPr>
                  <w:tcW w:w="617" w:type="dxa"/>
                  <w:vAlign w:val="center"/>
                </w:tcPr>
                <w:p>
                  <w:pPr>
                    <w:pStyle w:val="20"/>
                    <w:rPr>
                      <w:highlight w:val="none"/>
                    </w:rPr>
                  </w:pPr>
                  <w:r>
                    <w:rPr>
                      <w:rFonts w:hint="eastAsia"/>
                      <w:highlight w:val="none"/>
                      <w:lang w:val="en-US" w:eastAsia="zh-CN"/>
                    </w:rPr>
                    <w:t>57</w:t>
                  </w:r>
                </w:p>
              </w:tc>
              <w:tc>
                <w:tcPr>
                  <w:tcW w:w="617" w:type="dxa"/>
                  <w:vAlign w:val="center"/>
                </w:tcPr>
                <w:p>
                  <w:pPr>
                    <w:pStyle w:val="20"/>
                    <w:rPr>
                      <w:highlight w:val="none"/>
                    </w:rPr>
                  </w:pPr>
                  <w:r>
                    <w:rPr>
                      <w:rFonts w:hint="eastAsia"/>
                      <w:highlight w:val="none"/>
                      <w:lang w:val="en-US" w:eastAsia="zh-CN"/>
                    </w:rPr>
                    <w:t>49</w:t>
                  </w:r>
                </w:p>
              </w:tc>
              <w:tc>
                <w:tcPr>
                  <w:tcW w:w="617" w:type="dxa"/>
                  <w:vAlign w:val="center"/>
                </w:tcPr>
                <w:p>
                  <w:pPr>
                    <w:pStyle w:val="20"/>
                    <w:rPr>
                      <w:highlight w:val="none"/>
                    </w:rPr>
                  </w:pPr>
                  <w:r>
                    <w:rPr>
                      <w:rFonts w:hint="eastAsia"/>
                      <w:highlight w:val="none"/>
                      <w:lang w:val="en-US" w:eastAsia="zh-CN"/>
                    </w:rPr>
                    <w:t>57.2</w:t>
                  </w:r>
                </w:p>
              </w:tc>
              <w:tc>
                <w:tcPr>
                  <w:tcW w:w="617" w:type="dxa"/>
                  <w:vAlign w:val="center"/>
                </w:tcPr>
                <w:p>
                  <w:pPr>
                    <w:pStyle w:val="20"/>
                    <w:rPr>
                      <w:highlight w:val="none"/>
                    </w:rPr>
                  </w:pPr>
                  <w:r>
                    <w:rPr>
                      <w:rFonts w:hint="eastAsia"/>
                      <w:highlight w:val="none"/>
                      <w:lang w:val="en-US" w:eastAsia="zh-CN"/>
                    </w:rPr>
                    <w:t>49.9</w:t>
                  </w:r>
                </w:p>
              </w:tc>
              <w:tc>
                <w:tcPr>
                  <w:tcW w:w="617" w:type="dxa"/>
                  <w:vAlign w:val="center"/>
                </w:tcPr>
                <w:p>
                  <w:pPr>
                    <w:pStyle w:val="20"/>
                    <w:rPr>
                      <w:rFonts w:hint="default" w:eastAsia="宋体"/>
                      <w:highlight w:val="none"/>
                      <w:lang w:val="en-US" w:eastAsia="zh-CN"/>
                    </w:rPr>
                  </w:pPr>
                  <w:r>
                    <w:rPr>
                      <w:rFonts w:hint="eastAsia"/>
                      <w:highlight w:val="none"/>
                      <w:lang w:val="en-US" w:eastAsia="zh-CN"/>
                    </w:rPr>
                    <w:t>70</w:t>
                  </w:r>
                </w:p>
              </w:tc>
              <w:tc>
                <w:tcPr>
                  <w:tcW w:w="617" w:type="dxa"/>
                  <w:vAlign w:val="center"/>
                </w:tcPr>
                <w:p>
                  <w:pPr>
                    <w:pStyle w:val="20"/>
                    <w:rPr>
                      <w:highlight w:val="none"/>
                    </w:rPr>
                  </w:pPr>
                  <w:r>
                    <w:rPr>
                      <w:highlight w:val="none"/>
                    </w:rPr>
                    <w:t>55</w:t>
                  </w:r>
                </w:p>
              </w:tc>
              <w:tc>
                <w:tcPr>
                  <w:tcW w:w="796" w:type="dxa"/>
                  <w:vAlign w:val="center"/>
                </w:tcPr>
                <w:p>
                  <w:pPr>
                    <w:pStyle w:val="20"/>
                    <w:rPr>
                      <w:highlight w:val="none"/>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Align w:val="center"/>
                </w:tcPr>
                <w:p>
                  <w:pPr>
                    <w:pStyle w:val="20"/>
                    <w:rPr>
                      <w:highlight w:val="none"/>
                    </w:rPr>
                  </w:pPr>
                  <w:r>
                    <w:rPr>
                      <w:highlight w:val="none"/>
                    </w:rPr>
                    <w:t>4#</w:t>
                  </w:r>
                </w:p>
              </w:tc>
              <w:tc>
                <w:tcPr>
                  <w:tcW w:w="1034" w:type="dxa"/>
                  <w:vAlign w:val="center"/>
                </w:tcPr>
                <w:p>
                  <w:pPr>
                    <w:pStyle w:val="20"/>
                    <w:rPr>
                      <w:highlight w:val="none"/>
                    </w:rPr>
                  </w:pPr>
                  <w:r>
                    <w:rPr>
                      <w:highlight w:val="none"/>
                    </w:rPr>
                    <w:t>厂界北</w:t>
                  </w:r>
                </w:p>
              </w:tc>
              <w:tc>
                <w:tcPr>
                  <w:tcW w:w="1232" w:type="dxa"/>
                  <w:vAlign w:val="center"/>
                </w:tcPr>
                <w:p>
                  <w:pPr>
                    <w:pStyle w:val="20"/>
                    <w:rPr>
                      <w:rFonts w:hint="default"/>
                      <w:highlight w:val="none"/>
                      <w:lang w:val="en-US" w:eastAsia="zh-CN"/>
                    </w:rPr>
                  </w:pPr>
                  <w:r>
                    <w:rPr>
                      <w:rFonts w:hint="eastAsia"/>
                      <w:highlight w:val="none"/>
                      <w:lang w:val="en-US" w:eastAsia="zh-CN"/>
                    </w:rPr>
                    <w:t>44.1</w:t>
                  </w:r>
                </w:p>
              </w:tc>
              <w:tc>
                <w:tcPr>
                  <w:tcW w:w="617" w:type="dxa"/>
                  <w:vAlign w:val="center"/>
                </w:tcPr>
                <w:p>
                  <w:pPr>
                    <w:pStyle w:val="20"/>
                    <w:rPr>
                      <w:highlight w:val="none"/>
                    </w:rPr>
                  </w:pPr>
                  <w:r>
                    <w:rPr>
                      <w:rFonts w:hint="eastAsia"/>
                      <w:highlight w:val="none"/>
                      <w:lang w:val="en-US" w:eastAsia="zh-CN"/>
                    </w:rPr>
                    <w:t>58</w:t>
                  </w:r>
                </w:p>
              </w:tc>
              <w:tc>
                <w:tcPr>
                  <w:tcW w:w="617" w:type="dxa"/>
                  <w:vAlign w:val="center"/>
                </w:tcPr>
                <w:p>
                  <w:pPr>
                    <w:pStyle w:val="20"/>
                    <w:rPr>
                      <w:highlight w:val="none"/>
                    </w:rPr>
                  </w:pPr>
                  <w:r>
                    <w:rPr>
                      <w:rFonts w:hint="eastAsia"/>
                      <w:highlight w:val="none"/>
                      <w:lang w:val="en-US" w:eastAsia="zh-CN"/>
                    </w:rPr>
                    <w:t>47</w:t>
                  </w:r>
                </w:p>
              </w:tc>
              <w:tc>
                <w:tcPr>
                  <w:tcW w:w="617" w:type="dxa"/>
                  <w:vAlign w:val="center"/>
                </w:tcPr>
                <w:p>
                  <w:pPr>
                    <w:pStyle w:val="20"/>
                    <w:rPr>
                      <w:highlight w:val="none"/>
                    </w:rPr>
                  </w:pPr>
                  <w:r>
                    <w:rPr>
                      <w:rFonts w:hint="eastAsia"/>
                      <w:highlight w:val="none"/>
                      <w:lang w:val="en-US" w:eastAsia="zh-CN"/>
                    </w:rPr>
                    <w:t>58.2</w:t>
                  </w:r>
                </w:p>
              </w:tc>
              <w:tc>
                <w:tcPr>
                  <w:tcW w:w="617" w:type="dxa"/>
                  <w:vAlign w:val="center"/>
                </w:tcPr>
                <w:p>
                  <w:pPr>
                    <w:pStyle w:val="20"/>
                    <w:rPr>
                      <w:highlight w:val="none"/>
                    </w:rPr>
                  </w:pPr>
                  <w:r>
                    <w:rPr>
                      <w:rFonts w:hint="eastAsia"/>
                      <w:highlight w:val="none"/>
                      <w:lang w:val="en-US" w:eastAsia="zh-CN"/>
                    </w:rPr>
                    <w:t>48.8</w:t>
                  </w:r>
                </w:p>
              </w:tc>
              <w:tc>
                <w:tcPr>
                  <w:tcW w:w="617" w:type="dxa"/>
                  <w:vAlign w:val="center"/>
                </w:tcPr>
                <w:p>
                  <w:pPr>
                    <w:pStyle w:val="20"/>
                    <w:rPr>
                      <w:highlight w:val="none"/>
                    </w:rPr>
                  </w:pPr>
                  <w:r>
                    <w:rPr>
                      <w:highlight w:val="none"/>
                    </w:rPr>
                    <w:t>65</w:t>
                  </w:r>
                </w:p>
              </w:tc>
              <w:tc>
                <w:tcPr>
                  <w:tcW w:w="617" w:type="dxa"/>
                  <w:vAlign w:val="center"/>
                </w:tcPr>
                <w:p>
                  <w:pPr>
                    <w:pStyle w:val="20"/>
                    <w:rPr>
                      <w:highlight w:val="none"/>
                    </w:rPr>
                  </w:pPr>
                  <w:r>
                    <w:rPr>
                      <w:highlight w:val="none"/>
                    </w:rPr>
                    <w:t>55</w:t>
                  </w:r>
                </w:p>
              </w:tc>
              <w:tc>
                <w:tcPr>
                  <w:tcW w:w="796" w:type="dxa"/>
                  <w:vAlign w:val="center"/>
                </w:tcPr>
                <w:p>
                  <w:pPr>
                    <w:pStyle w:val="20"/>
                    <w:rPr>
                      <w:highlight w:val="none"/>
                    </w:rPr>
                  </w:pPr>
                  <w:r>
                    <w:rPr>
                      <w:highlight w:val="none"/>
                    </w:rPr>
                    <w:t>是</w:t>
                  </w:r>
                </w:p>
              </w:tc>
            </w:tr>
          </w:tbl>
          <w:p>
            <w:pPr>
              <w:ind w:firstLine="420"/>
            </w:pPr>
            <w:r>
              <w:rPr>
                <w:rFonts w:hint="eastAsia"/>
              </w:rPr>
              <w:t>从预测结果可知，本项目实施后东、南、北厂界昼、夜间噪声均能满足《工业企业厂界环境噪声排放标准》（GB12348-2008）中的</w:t>
            </w:r>
            <w:r>
              <w:t>3</w:t>
            </w:r>
            <w:r>
              <w:rPr>
                <w:rFonts w:hint="eastAsia"/>
              </w:rPr>
              <w:t>类标准</w:t>
            </w:r>
            <w:r>
              <w:rPr>
                <w:rFonts w:hint="eastAsia"/>
                <w:lang w:eastAsia="zh-CN"/>
              </w:rPr>
              <w:t>，</w:t>
            </w:r>
            <w:r>
              <w:rPr>
                <w:rFonts w:hint="eastAsia"/>
                <w:lang w:val="en-US" w:eastAsia="zh-CN"/>
              </w:rPr>
              <w:t>西厂界</w:t>
            </w:r>
            <w:r>
              <w:rPr>
                <w:rFonts w:hint="eastAsia"/>
              </w:rPr>
              <w:t>昼、夜间噪声均能满足《工业企业厂界环境噪声排放标准》（GB12348-2008）中的</w:t>
            </w:r>
            <w:r>
              <w:rPr>
                <w:rFonts w:hint="eastAsia"/>
                <w:lang w:val="en-US" w:eastAsia="zh-CN"/>
              </w:rPr>
              <w:t>4</w:t>
            </w:r>
            <w:r>
              <w:rPr>
                <w:rFonts w:hint="eastAsia"/>
              </w:rPr>
              <w:t>类标准</w:t>
            </w:r>
            <w:r>
              <w:t>。本项目对周围声环境影响较小。</w:t>
            </w:r>
          </w:p>
          <w:p>
            <w:pPr>
              <w:pStyle w:val="6"/>
            </w:pPr>
            <w:r>
              <w:t>4.4.4噪声监测计划</w:t>
            </w:r>
          </w:p>
          <w:p>
            <w:pPr>
              <w:ind w:firstLine="420"/>
            </w:pPr>
            <w:r>
              <w:t>本项目监测计划为污染源监测计划，需对本项目</w:t>
            </w:r>
            <w:r>
              <w:rPr>
                <w:rFonts w:hint="eastAsia"/>
              </w:rPr>
              <w:t>厂界噪声</w:t>
            </w:r>
            <w:r>
              <w:t>进行定期监测，本项目营运期监测计划</w:t>
            </w:r>
            <w:r>
              <w:rPr>
                <w:rFonts w:hint="eastAsia"/>
              </w:rPr>
              <w:t>参</w:t>
            </w:r>
            <w:r>
              <w:t>照</w:t>
            </w:r>
            <w:r>
              <w:rPr>
                <w:rFonts w:hint="eastAsia"/>
              </w:rPr>
              <w:t>《排污单位自行监测技术指南 总则》（HJ819-2017）等</w:t>
            </w:r>
            <w:r>
              <w:t>要求制定。具体监测计划详见表</w:t>
            </w:r>
            <w:r>
              <w:rPr>
                <w:rFonts w:hint="eastAsia"/>
              </w:rPr>
              <w:t>4.4-4</w:t>
            </w:r>
            <w:r>
              <w:t>。</w:t>
            </w:r>
          </w:p>
          <w:p>
            <w:pPr>
              <w:adjustRightInd/>
              <w:ind w:firstLine="0" w:firstLineChars="0"/>
              <w:jc w:val="center"/>
              <w:rPr>
                <w:b/>
                <w:bCs/>
              </w:rPr>
            </w:pPr>
          </w:p>
          <w:p>
            <w:pPr>
              <w:adjustRightInd/>
              <w:ind w:firstLine="0" w:firstLineChars="0"/>
              <w:jc w:val="center"/>
              <w:rPr>
                <w:b/>
                <w:bCs/>
              </w:rPr>
            </w:pPr>
            <w:r>
              <w:rPr>
                <w:b/>
                <w:bCs/>
              </w:rPr>
              <w:t>表</w:t>
            </w:r>
            <w:r>
              <w:rPr>
                <w:rFonts w:hint="eastAsia"/>
                <w:b/>
                <w:bCs/>
              </w:rPr>
              <w:t>4.4-4</w:t>
            </w:r>
            <w:r>
              <w:rPr>
                <w:b/>
                <w:bCs/>
              </w:rPr>
              <w:t xml:space="preserve"> </w:t>
            </w:r>
            <w:r>
              <w:rPr>
                <w:rFonts w:hint="eastAsia"/>
                <w:b/>
                <w:bCs/>
              </w:rPr>
              <w:t xml:space="preserve"> 噪声</w:t>
            </w:r>
            <w:r>
              <w:rPr>
                <w:b/>
                <w:bCs/>
              </w:rPr>
              <w:t>监测计划一览表</w:t>
            </w:r>
          </w:p>
          <w:tbl>
            <w:tblPr>
              <w:tblStyle w:val="15"/>
              <w:tblW w:w="78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14"/>
              <w:gridCol w:w="1013"/>
              <w:gridCol w:w="1088"/>
              <w:gridCol w:w="1937"/>
              <w:gridCol w:w="319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614" w:type="dxa"/>
                  <w:vAlign w:val="center"/>
                </w:tcPr>
                <w:p>
                  <w:pPr>
                    <w:pStyle w:val="20"/>
                  </w:pPr>
                  <w:r>
                    <w:t>序号</w:t>
                  </w:r>
                </w:p>
              </w:tc>
              <w:tc>
                <w:tcPr>
                  <w:tcW w:w="1013" w:type="dxa"/>
                  <w:vAlign w:val="center"/>
                </w:tcPr>
                <w:p>
                  <w:pPr>
                    <w:pStyle w:val="20"/>
                  </w:pPr>
                  <w:r>
                    <w:t>监测点位</w:t>
                  </w:r>
                </w:p>
              </w:tc>
              <w:tc>
                <w:tcPr>
                  <w:tcW w:w="1088" w:type="dxa"/>
                  <w:vAlign w:val="center"/>
                </w:tcPr>
                <w:p>
                  <w:pPr>
                    <w:pStyle w:val="20"/>
                  </w:pPr>
                  <w:r>
                    <w:t>监测指标</w:t>
                  </w:r>
                </w:p>
              </w:tc>
              <w:tc>
                <w:tcPr>
                  <w:tcW w:w="1937" w:type="dxa"/>
                  <w:vAlign w:val="center"/>
                </w:tcPr>
                <w:p>
                  <w:pPr>
                    <w:pStyle w:val="20"/>
                  </w:pPr>
                  <w:r>
                    <w:rPr>
                      <w:rFonts w:hint="eastAsia"/>
                    </w:rPr>
                    <w:t>最低</w:t>
                  </w:r>
                  <w:r>
                    <w:t>监测频次</w:t>
                  </w:r>
                </w:p>
              </w:tc>
              <w:tc>
                <w:tcPr>
                  <w:tcW w:w="3191" w:type="dxa"/>
                  <w:vAlign w:val="center"/>
                </w:tcPr>
                <w:p>
                  <w:pPr>
                    <w:pStyle w:val="20"/>
                  </w:pPr>
                  <w:r>
                    <w:t>执行标准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614" w:type="dxa"/>
                  <w:vAlign w:val="center"/>
                </w:tcPr>
                <w:p>
                  <w:pPr>
                    <w:pStyle w:val="20"/>
                  </w:pPr>
                  <w:r>
                    <w:rPr>
                      <w:rFonts w:hint="eastAsia"/>
                    </w:rPr>
                    <w:t>1</w:t>
                  </w:r>
                </w:p>
              </w:tc>
              <w:tc>
                <w:tcPr>
                  <w:tcW w:w="1013" w:type="dxa"/>
                  <w:vAlign w:val="center"/>
                </w:tcPr>
                <w:p>
                  <w:pPr>
                    <w:pStyle w:val="20"/>
                  </w:pPr>
                  <w:r>
                    <w:rPr>
                      <w:rFonts w:hint="eastAsia"/>
                    </w:rPr>
                    <w:t>四厂界</w:t>
                  </w:r>
                </w:p>
              </w:tc>
              <w:tc>
                <w:tcPr>
                  <w:tcW w:w="1088" w:type="dxa"/>
                  <w:vAlign w:val="center"/>
                </w:tcPr>
                <w:p>
                  <w:pPr>
                    <w:pStyle w:val="20"/>
                  </w:pPr>
                  <w:r>
                    <w:rPr>
                      <w:rFonts w:hint="eastAsia"/>
                    </w:rPr>
                    <w:t>噪声</w:t>
                  </w:r>
                </w:p>
              </w:tc>
              <w:tc>
                <w:tcPr>
                  <w:tcW w:w="1937" w:type="dxa"/>
                  <w:vAlign w:val="center"/>
                </w:tcPr>
                <w:p>
                  <w:pPr>
                    <w:pStyle w:val="20"/>
                  </w:pPr>
                  <w:r>
                    <w:rPr>
                      <w:rFonts w:hint="eastAsia"/>
                    </w:rPr>
                    <w:t>1次/季度，正常工况下，昼间夜间各一次</w:t>
                  </w:r>
                </w:p>
              </w:tc>
              <w:tc>
                <w:tcPr>
                  <w:tcW w:w="3191" w:type="dxa"/>
                  <w:vAlign w:val="center"/>
                </w:tcPr>
                <w:p>
                  <w:pPr>
                    <w:pStyle w:val="20"/>
                  </w:pPr>
                  <w:r>
                    <w:t>《工业企业厂界环境噪声排放标准》（GB12348-2008）中</w:t>
                  </w:r>
                  <w:r>
                    <w:rPr>
                      <w:rFonts w:hint="eastAsia"/>
                    </w:rPr>
                    <w:t>3类标准要求</w:t>
                  </w:r>
                </w:p>
              </w:tc>
            </w:tr>
          </w:tbl>
          <w:p>
            <w:pPr>
              <w:pStyle w:val="5"/>
              <w:spacing w:before="156"/>
              <w:rPr>
                <w:rFonts w:hint="default"/>
              </w:rPr>
            </w:pPr>
            <w:r>
              <w:t>4.5运营期固体废物环境影响和保护措施</w:t>
            </w:r>
          </w:p>
          <w:p>
            <w:pPr>
              <w:pStyle w:val="6"/>
              <w:rPr>
                <w:rFonts w:hint="default" w:eastAsia="宋体"/>
                <w:shd w:val="clear" w:fill="FFFF00"/>
                <w:lang w:val="en-US" w:eastAsia="zh-CN"/>
              </w:rPr>
            </w:pPr>
            <w:r>
              <w:t>4.5.1固废产生情况分析</w:t>
            </w:r>
            <w:r>
              <w:rPr>
                <w:rFonts w:hint="eastAsia"/>
                <w:lang w:val="en-US" w:eastAsia="zh-CN"/>
              </w:rPr>
              <w:t>废</w:t>
            </w:r>
          </w:p>
          <w:p>
            <w:pPr>
              <w:ind w:firstLine="0"/>
            </w:pPr>
            <w:r>
              <w:rPr>
                <w:rFonts w:hint="eastAsia"/>
              </w:rPr>
              <w:t>（1）不合格电芯</w:t>
            </w:r>
          </w:p>
          <w:p>
            <w:pPr>
              <w:ind w:firstLine="0"/>
              <w:rPr>
                <w:rFonts w:hint="eastAsia"/>
              </w:rPr>
            </w:pPr>
            <w:r>
              <w:rPr>
                <w:rFonts w:hint="eastAsia"/>
              </w:rPr>
              <w:t>模组装配前会对电芯进行检验测试，不合格品集中返修过程也会产生一定定量的废电芯，</w:t>
            </w:r>
            <w:r>
              <w:rPr>
                <w:rFonts w:hint="eastAsia"/>
                <w:lang w:val="en-US" w:eastAsia="zh-CN"/>
              </w:rPr>
              <w:t>类比现有项目</w:t>
            </w:r>
            <w:r>
              <w:rPr>
                <w:rFonts w:hint="eastAsia"/>
              </w:rPr>
              <w:t>，不合格电芯产生量约</w:t>
            </w:r>
            <w:r>
              <w:rPr>
                <w:rFonts w:hint="eastAsia"/>
                <w:lang w:val="en-US" w:eastAsia="zh-CN"/>
              </w:rPr>
              <w:t>2</w:t>
            </w:r>
            <w:r>
              <w:rPr>
                <w:rFonts w:hint="eastAsia"/>
              </w:rPr>
              <w:t>t/a，</w:t>
            </w:r>
            <w:r>
              <w:rPr>
                <w:rFonts w:hint="eastAsia"/>
                <w:lang w:val="en-US" w:eastAsia="zh-CN"/>
              </w:rPr>
              <w:t>对照《固体废物分类与代码目录》不合格电芯属于一般固废，固废代码为SW17：900-012-17，</w:t>
            </w:r>
            <w:r>
              <w:rPr>
                <w:rFonts w:hint="eastAsia"/>
              </w:rPr>
              <w:t>专门的回收单位处理。</w:t>
            </w:r>
          </w:p>
          <w:p>
            <w:pPr>
              <w:ind w:firstLine="0"/>
              <w:rPr>
                <w:rFonts w:hint="eastAsia" w:eastAsia="宋体"/>
                <w:lang w:eastAsia="zh-CN"/>
              </w:rPr>
            </w:pPr>
            <w:r>
              <w:rPr>
                <w:rFonts w:hint="eastAsia"/>
              </w:rPr>
              <w:t>（</w:t>
            </w:r>
            <w:r>
              <w:rPr>
                <w:rFonts w:hint="eastAsia"/>
                <w:lang w:val="en-US" w:eastAsia="zh-CN"/>
              </w:rPr>
              <w:t>2</w:t>
            </w:r>
            <w:r>
              <w:rPr>
                <w:rFonts w:hint="eastAsia"/>
              </w:rPr>
              <w:t>）</w:t>
            </w:r>
            <w:r>
              <w:rPr>
                <w:rFonts w:hint="eastAsia"/>
                <w:lang w:val="en-US" w:eastAsia="zh-CN"/>
              </w:rPr>
              <w:t>废胶纸</w:t>
            </w:r>
          </w:p>
          <w:p>
            <w:pPr>
              <w:ind w:firstLine="0"/>
            </w:pPr>
            <w:r>
              <w:rPr>
                <w:rFonts w:hint="eastAsia"/>
              </w:rPr>
              <w:t>贴双面胶过程中会产生少量的废胶纸，主要成分为塑料、纸，</w:t>
            </w:r>
            <w:r>
              <w:rPr>
                <w:rFonts w:hint="eastAsia"/>
                <w:lang w:val="en-US" w:eastAsia="zh-CN"/>
              </w:rPr>
              <w:t>类比现有项目</w:t>
            </w:r>
            <w:r>
              <w:rPr>
                <w:rFonts w:hint="eastAsia"/>
              </w:rPr>
              <w:t>，</w:t>
            </w:r>
            <w:r>
              <w:rPr>
                <w:rFonts w:hint="eastAsia"/>
                <w:lang w:val="en-US" w:eastAsia="zh-CN"/>
              </w:rPr>
              <w:t>废胶纸</w:t>
            </w:r>
            <w:r>
              <w:rPr>
                <w:rFonts w:hint="eastAsia"/>
              </w:rPr>
              <w:t>产生量约</w:t>
            </w:r>
            <w:r>
              <w:rPr>
                <w:rFonts w:hint="eastAsia"/>
                <w:lang w:val="en-US" w:eastAsia="zh-CN"/>
              </w:rPr>
              <w:t>2</w:t>
            </w:r>
            <w:r>
              <w:rPr>
                <w:rFonts w:hint="eastAsia"/>
              </w:rPr>
              <w:t>t/a，</w:t>
            </w:r>
            <w:r>
              <w:rPr>
                <w:rFonts w:hint="eastAsia"/>
                <w:lang w:val="en-US" w:eastAsia="zh-CN"/>
              </w:rPr>
              <w:t>对照《固体废物分类与代码目录》废胶纸属于一般固废，固废代码为SW17：900-005-17</w:t>
            </w:r>
            <w:r>
              <w:rPr>
                <w:rFonts w:hint="eastAsia"/>
              </w:rPr>
              <w:t>，收集后外售资源化利用。</w:t>
            </w:r>
          </w:p>
          <w:p>
            <w:pPr>
              <w:ind w:firstLine="0"/>
              <w:rPr>
                <w:rFonts w:hint="default" w:eastAsia="宋体"/>
                <w:lang w:val="en-US" w:eastAsia="zh-CN"/>
              </w:rPr>
            </w:pPr>
            <w:r>
              <w:rPr>
                <w:rFonts w:hint="eastAsia"/>
              </w:rPr>
              <w:t>（3）</w:t>
            </w:r>
            <w:r>
              <w:rPr>
                <w:rFonts w:hint="eastAsia"/>
                <w:lang w:val="en-US" w:eastAsia="zh-CN"/>
              </w:rPr>
              <w:t>沾染化学品的废包装物</w:t>
            </w:r>
          </w:p>
          <w:p>
            <w:pPr>
              <w:ind w:firstLine="0"/>
            </w:pPr>
            <w:r>
              <w:rPr>
                <w:rFonts w:hint="eastAsia"/>
              </w:rPr>
              <w:t>项目年使用结构胶</w:t>
            </w:r>
            <w:r>
              <w:rPr>
                <w:rFonts w:hint="eastAsia"/>
                <w:lang w:val="en-US" w:eastAsia="zh-CN"/>
              </w:rPr>
              <w:t>174</w:t>
            </w:r>
            <w:r>
              <w:rPr>
                <w:rFonts w:hint="eastAsia"/>
              </w:rPr>
              <w:t>t，</w:t>
            </w:r>
            <w:r>
              <w:rPr>
                <w:rFonts w:hint="eastAsia"/>
                <w:lang w:val="en-US" w:eastAsia="zh-CN"/>
              </w:rPr>
              <w:t>类比现有项目废胶桶产生情况，本项目</w:t>
            </w:r>
            <w:r>
              <w:rPr>
                <w:rFonts w:hint="eastAsia"/>
              </w:rPr>
              <w:t>废</w:t>
            </w:r>
            <w:r>
              <w:rPr>
                <w:rFonts w:hint="eastAsia"/>
                <w:lang w:val="en-US" w:eastAsia="zh-CN"/>
              </w:rPr>
              <w:t>胶</w:t>
            </w:r>
            <w:r>
              <w:rPr>
                <w:rFonts w:hint="eastAsia"/>
              </w:rPr>
              <w:t>桶产生量约</w:t>
            </w:r>
            <w:r>
              <w:rPr>
                <w:rFonts w:hint="eastAsia"/>
                <w:lang w:val="en-US" w:eastAsia="zh-CN"/>
              </w:rPr>
              <w:t>1.44t/a</w:t>
            </w:r>
            <w:r>
              <w:rPr>
                <w:rFonts w:hint="eastAsia"/>
                <w:lang w:eastAsia="zh-CN"/>
              </w:rPr>
              <w:t>；</w:t>
            </w:r>
            <w:r>
              <w:rPr>
                <w:rFonts w:hint="eastAsia"/>
                <w:lang w:val="en-US" w:eastAsia="zh-CN"/>
              </w:rPr>
              <w:t>项目使用酒精擦拭设备时，会有废酒精桶产生，根据酒精用量，本项目产生酒精桶75个，每个空桶按0.3kg计，则废酒精桶产生量约为0.023t/a。项目使用硅酮密封胶时，会有废胶瓶产生，根据密封胶用量，本项目产生废胶瓶14个，每个空桶按0.1kg计，则废胶瓶产生量约为0.001t/a，全厂废包装物共产生1.464t/a。</w:t>
            </w:r>
            <w:r>
              <w:rPr>
                <w:rFonts w:hint="eastAsia"/>
              </w:rPr>
              <w:t>属于《国家危险废物名录（202</w:t>
            </w:r>
            <w:r>
              <w:rPr>
                <w:rFonts w:hint="eastAsia"/>
                <w:lang w:val="en-US" w:eastAsia="zh-CN"/>
              </w:rPr>
              <w:t>5</w:t>
            </w:r>
            <w:r>
              <w:rPr>
                <w:rFonts w:hint="eastAsia"/>
              </w:rPr>
              <w:t>年版）》中</w:t>
            </w:r>
            <w:r>
              <w:rPr>
                <w:rFonts w:hint="eastAsia"/>
                <w:lang w:eastAsia="zh-CN"/>
              </w:rPr>
              <w:t>的</w:t>
            </w:r>
            <w:r>
              <w:rPr>
                <w:rFonts w:hint="eastAsia"/>
                <w:lang w:val="en-US" w:eastAsia="zh-CN"/>
              </w:rPr>
              <w:t>危废</w:t>
            </w:r>
            <w:r>
              <w:rPr>
                <w:rFonts w:hint="eastAsia"/>
              </w:rPr>
              <w:t>，废物代码为</w:t>
            </w:r>
            <w:r>
              <w:rPr>
                <w:rFonts w:hint="eastAsia"/>
                <w:lang w:val="en-US" w:eastAsia="zh-CN"/>
              </w:rPr>
              <w:t>HW49：</w:t>
            </w:r>
            <w:r>
              <w:rPr>
                <w:rFonts w:hint="eastAsia"/>
              </w:rPr>
              <w:t>900-041-49的危险废物。收集后暂存于危废暂存间，定期委托资质单位处理。</w:t>
            </w:r>
          </w:p>
          <w:p>
            <w:pPr>
              <w:ind w:firstLine="0"/>
              <w:rPr>
                <w:rFonts w:hint="eastAsia" w:eastAsia="宋体"/>
                <w:lang w:eastAsia="zh-CN"/>
              </w:rPr>
            </w:pPr>
            <w:r>
              <w:t>（4）</w:t>
            </w:r>
            <w:r>
              <w:rPr>
                <w:rFonts w:hint="eastAsia"/>
                <w:lang w:val="en-US" w:eastAsia="zh-CN"/>
              </w:rPr>
              <w:t>废胶</w:t>
            </w:r>
          </w:p>
          <w:p>
            <w:pPr>
              <w:ind w:firstLine="0"/>
              <w:rPr>
                <w:rFonts w:hint="eastAsia"/>
              </w:rPr>
            </w:pPr>
            <w:r>
              <w:rPr>
                <w:rFonts w:hint="eastAsia"/>
                <w:lang w:val="en-US" w:eastAsia="zh-CN"/>
              </w:rPr>
              <w:t>本项目使用结构胶的过程，会有部分废胶产生</w:t>
            </w:r>
            <w:r>
              <w:rPr>
                <w:rFonts w:hint="eastAsia"/>
              </w:rPr>
              <w:t>，</w:t>
            </w:r>
            <w:r>
              <w:rPr>
                <w:rFonts w:hint="eastAsia"/>
                <w:lang w:val="en-US" w:eastAsia="zh-CN"/>
              </w:rPr>
              <w:t>类比现有项目废胶产生情况，本项目</w:t>
            </w:r>
            <w:r>
              <w:rPr>
                <w:rFonts w:hint="eastAsia"/>
              </w:rPr>
              <w:t>废</w:t>
            </w:r>
            <w:r>
              <w:rPr>
                <w:rFonts w:hint="eastAsia"/>
                <w:lang w:val="en-US" w:eastAsia="zh-CN"/>
              </w:rPr>
              <w:t>胶</w:t>
            </w:r>
            <w:r>
              <w:rPr>
                <w:rFonts w:hint="eastAsia"/>
              </w:rPr>
              <w:t>产生量约</w:t>
            </w:r>
            <w:r>
              <w:rPr>
                <w:rFonts w:hint="eastAsia"/>
                <w:lang w:val="en-US" w:eastAsia="zh-CN"/>
              </w:rPr>
              <w:t>3t/a</w:t>
            </w:r>
            <w:r>
              <w:rPr>
                <w:rFonts w:hint="eastAsia"/>
              </w:rPr>
              <w:t>，属于《国家危险废物名录（202</w:t>
            </w:r>
            <w:r>
              <w:rPr>
                <w:rFonts w:hint="eastAsia"/>
                <w:lang w:val="en-US" w:eastAsia="zh-CN"/>
              </w:rPr>
              <w:t>5</w:t>
            </w:r>
            <w:r>
              <w:rPr>
                <w:rFonts w:hint="eastAsia"/>
              </w:rPr>
              <w:t>年版）》中</w:t>
            </w:r>
            <w:r>
              <w:rPr>
                <w:rFonts w:hint="eastAsia"/>
                <w:lang w:eastAsia="zh-CN"/>
              </w:rPr>
              <w:t>的</w:t>
            </w:r>
            <w:r>
              <w:rPr>
                <w:rFonts w:hint="eastAsia"/>
                <w:lang w:val="en-US" w:eastAsia="zh-CN"/>
              </w:rPr>
              <w:t>危废</w:t>
            </w:r>
            <w:r>
              <w:rPr>
                <w:rFonts w:hint="eastAsia"/>
              </w:rPr>
              <w:t xml:space="preserve">，废物代码为 </w:t>
            </w:r>
            <w:r>
              <w:rPr>
                <w:rFonts w:hint="eastAsia"/>
                <w:lang w:val="en-US" w:eastAsia="zh-CN"/>
              </w:rPr>
              <w:t>HW13：900-014-13</w:t>
            </w:r>
            <w:r>
              <w:rPr>
                <w:rFonts w:hint="eastAsia"/>
              </w:rPr>
              <w:t>。收集后暂存于危废暂存间，定期委托资质单位处理。</w:t>
            </w:r>
          </w:p>
          <w:p>
            <w:pPr>
              <w:bidi w:val="0"/>
              <w:rPr>
                <w:rFonts w:hint="eastAsia"/>
                <w:lang w:eastAsia="zh-CN"/>
              </w:rPr>
            </w:pPr>
            <w:r>
              <w:rPr>
                <w:rFonts w:hint="eastAsia"/>
                <w:lang w:eastAsia="zh-CN"/>
              </w:rPr>
              <w:t>（</w:t>
            </w:r>
            <w:r>
              <w:rPr>
                <w:rFonts w:hint="eastAsia"/>
                <w:lang w:val="en-US" w:eastAsia="zh-CN"/>
              </w:rPr>
              <w:t>5</w:t>
            </w:r>
            <w:r>
              <w:rPr>
                <w:rFonts w:hint="eastAsia"/>
                <w:lang w:eastAsia="zh-CN"/>
              </w:rPr>
              <w:t>）废五金件、废线束、废材料</w:t>
            </w:r>
          </w:p>
          <w:p>
            <w:pPr>
              <w:bidi w:val="0"/>
              <w:rPr>
                <w:rFonts w:hint="eastAsia"/>
                <w:lang w:eastAsia="zh-CN"/>
              </w:rPr>
            </w:pPr>
            <w:r>
              <w:rPr>
                <w:rFonts w:hint="eastAsia"/>
                <w:lang w:eastAsia="zh-CN"/>
              </w:rPr>
              <w:t>本项目模组装配、系统组装过程中，会产生废五金件、废线束、废材包装料等废料，</w:t>
            </w:r>
            <w:r>
              <w:rPr>
                <w:rFonts w:hint="eastAsia"/>
                <w:lang w:val="en-US" w:eastAsia="zh-CN"/>
              </w:rPr>
              <w:t>类比现有项目</w:t>
            </w:r>
            <w:r>
              <w:rPr>
                <w:rFonts w:hint="eastAsia"/>
              </w:rPr>
              <w:t>，</w:t>
            </w:r>
            <w:r>
              <w:rPr>
                <w:rFonts w:hint="eastAsia"/>
                <w:lang w:eastAsia="zh-CN"/>
              </w:rPr>
              <w:t>废五金件、废线束、废包装材料</w:t>
            </w:r>
            <w:r>
              <w:rPr>
                <w:rFonts w:hint="eastAsia"/>
              </w:rPr>
              <w:t>产生量约</w:t>
            </w:r>
            <w:r>
              <w:rPr>
                <w:rFonts w:hint="eastAsia"/>
                <w:lang w:val="en-US" w:eastAsia="zh-CN"/>
              </w:rPr>
              <w:t>15</w:t>
            </w:r>
            <w:r>
              <w:rPr>
                <w:rFonts w:hint="eastAsia"/>
              </w:rPr>
              <w:t>t/a，</w:t>
            </w:r>
            <w:r>
              <w:rPr>
                <w:rFonts w:hint="eastAsia"/>
                <w:lang w:val="en-US" w:eastAsia="zh-CN"/>
              </w:rPr>
              <w:t>对照《固体废物分类与代码目录》</w:t>
            </w:r>
            <w:r>
              <w:rPr>
                <w:rFonts w:hint="eastAsia"/>
                <w:lang w:eastAsia="zh-CN"/>
              </w:rPr>
              <w:t>废五金件、废线束、废包装材料</w:t>
            </w:r>
            <w:r>
              <w:rPr>
                <w:rFonts w:hint="eastAsia"/>
                <w:lang w:val="en-US" w:eastAsia="zh-CN"/>
              </w:rPr>
              <w:t>属于一般固废，固废代码为SW17：900-012-17</w:t>
            </w:r>
            <w:r>
              <w:rPr>
                <w:rFonts w:hint="eastAsia"/>
              </w:rPr>
              <w:t>，收集后外售资源化利用。</w:t>
            </w:r>
          </w:p>
          <w:p>
            <w:pPr>
              <w:bidi w:val="0"/>
              <w:rPr>
                <w:rFonts w:hint="eastAsia"/>
                <w:lang w:eastAsia="zh-CN"/>
              </w:rPr>
            </w:pPr>
            <w:r>
              <w:rPr>
                <w:rFonts w:hint="eastAsia"/>
                <w:lang w:eastAsia="zh-CN"/>
              </w:rPr>
              <w:t>（</w:t>
            </w:r>
            <w:r>
              <w:rPr>
                <w:rFonts w:hint="eastAsia"/>
                <w:lang w:val="en-US" w:eastAsia="zh-CN"/>
              </w:rPr>
              <w:t>6</w:t>
            </w:r>
            <w:r>
              <w:rPr>
                <w:rFonts w:hint="eastAsia"/>
                <w:lang w:eastAsia="zh-CN"/>
              </w:rPr>
              <w:t>）废电路板</w:t>
            </w:r>
          </w:p>
          <w:p>
            <w:pPr>
              <w:bidi w:val="0"/>
              <w:rPr>
                <w:rFonts w:hint="eastAsia"/>
                <w:lang w:eastAsia="zh-CN"/>
              </w:rPr>
            </w:pPr>
            <w:r>
              <w:rPr>
                <w:rFonts w:hint="eastAsia"/>
                <w:lang w:eastAsia="zh-CN"/>
              </w:rPr>
              <w:t>项目电芯模组过程中需要对线路板进行检测，不合格电芯维修过程也会产生一定量的不合格的电路板，</w:t>
            </w:r>
            <w:r>
              <w:rPr>
                <w:rFonts w:hint="eastAsia"/>
                <w:lang w:val="en-US" w:eastAsia="zh-CN"/>
              </w:rPr>
              <w:t>类比现有项目</w:t>
            </w:r>
            <w:r>
              <w:rPr>
                <w:rFonts w:hint="eastAsia"/>
                <w:lang w:eastAsia="zh-CN"/>
              </w:rPr>
              <w:t>，</w:t>
            </w:r>
            <w:r>
              <w:rPr>
                <w:rFonts w:hint="eastAsia"/>
                <w:lang w:val="en-US" w:eastAsia="zh-CN"/>
              </w:rPr>
              <w:t>本项目</w:t>
            </w:r>
            <w:r>
              <w:rPr>
                <w:rFonts w:hint="eastAsia"/>
                <w:lang w:eastAsia="zh-CN"/>
              </w:rPr>
              <w:t>废电路板产生量约</w:t>
            </w:r>
            <w:r>
              <w:rPr>
                <w:rFonts w:hint="eastAsia"/>
                <w:lang w:val="en-US" w:eastAsia="zh-CN"/>
              </w:rPr>
              <w:t>1</w:t>
            </w:r>
            <w:r>
              <w:rPr>
                <w:rFonts w:hint="eastAsia"/>
                <w:lang w:eastAsia="zh-CN"/>
              </w:rPr>
              <w:t>t/a，</w:t>
            </w:r>
            <w:r>
              <w:rPr>
                <w:rFonts w:hint="eastAsia"/>
                <w:lang w:val="en-US" w:eastAsia="zh-CN"/>
              </w:rPr>
              <w:t>属于</w:t>
            </w:r>
            <w:r>
              <w:rPr>
                <w:rFonts w:hint="eastAsia"/>
                <w:lang w:eastAsia="zh-CN"/>
              </w:rPr>
              <w:t>《国家危险废物名录（202</w:t>
            </w:r>
            <w:r>
              <w:rPr>
                <w:rFonts w:hint="eastAsia"/>
                <w:lang w:val="en-US" w:eastAsia="zh-CN"/>
              </w:rPr>
              <w:t>5</w:t>
            </w:r>
            <w:r>
              <w:rPr>
                <w:rFonts w:hint="eastAsia"/>
                <w:lang w:eastAsia="zh-CN"/>
              </w:rPr>
              <w:t>年版）》中的</w:t>
            </w:r>
            <w:r>
              <w:rPr>
                <w:rFonts w:hint="eastAsia"/>
                <w:lang w:val="en-US" w:eastAsia="zh-CN"/>
              </w:rPr>
              <w:t>危废，</w:t>
            </w:r>
            <w:r>
              <w:rPr>
                <w:rFonts w:hint="eastAsia"/>
                <w:lang w:eastAsia="zh-CN"/>
              </w:rPr>
              <w:t>废物代码为</w:t>
            </w:r>
            <w:r>
              <w:rPr>
                <w:rFonts w:hint="eastAsia"/>
                <w:lang w:val="en-US" w:eastAsia="zh-CN"/>
              </w:rPr>
              <w:t>HW49：</w:t>
            </w:r>
            <w:r>
              <w:rPr>
                <w:rFonts w:hint="eastAsia"/>
                <w:lang w:eastAsia="zh-CN"/>
              </w:rPr>
              <w:t>900-045-49。这部分电路板收集后暂存于危废间，定期委托资质单位处理。</w:t>
            </w:r>
          </w:p>
          <w:p>
            <w:pPr>
              <w:bidi w:val="0"/>
              <w:rPr>
                <w:rFonts w:hint="eastAsia"/>
                <w:lang w:eastAsia="zh-CN"/>
              </w:rPr>
            </w:pPr>
            <w:r>
              <w:rPr>
                <w:rFonts w:hint="eastAsia"/>
                <w:lang w:eastAsia="zh-CN"/>
              </w:rPr>
              <w:t>（</w:t>
            </w:r>
            <w:r>
              <w:rPr>
                <w:rFonts w:hint="eastAsia"/>
                <w:lang w:val="en-US" w:eastAsia="zh-CN"/>
              </w:rPr>
              <w:t>7</w:t>
            </w:r>
            <w:r>
              <w:rPr>
                <w:rFonts w:hint="eastAsia"/>
                <w:lang w:eastAsia="zh-CN"/>
              </w:rPr>
              <w:t>）废冷却液桶</w:t>
            </w:r>
          </w:p>
          <w:p>
            <w:pPr>
              <w:bidi w:val="0"/>
              <w:rPr>
                <w:rFonts w:hint="eastAsia"/>
                <w:lang w:eastAsia="zh-CN"/>
              </w:rPr>
            </w:pPr>
            <w:r>
              <w:rPr>
                <w:rFonts w:hint="eastAsia"/>
                <w:lang w:val="en-US" w:eastAsia="zh-CN"/>
              </w:rPr>
              <w:t>本项目</w:t>
            </w:r>
            <w:r>
              <w:rPr>
                <w:rFonts w:hint="eastAsia"/>
                <w:lang w:eastAsia="zh-CN"/>
              </w:rPr>
              <w:t>系统组装过程中，年使用冷却液</w:t>
            </w:r>
            <w:r>
              <w:rPr>
                <w:rFonts w:hint="eastAsia"/>
                <w:lang w:val="en-US" w:eastAsia="zh-CN"/>
              </w:rPr>
              <w:t>200</w:t>
            </w:r>
            <w:r>
              <w:rPr>
                <w:rFonts w:hint="eastAsia"/>
                <w:lang w:eastAsia="zh-CN"/>
              </w:rPr>
              <w:t>吨，包装规格</w:t>
            </w:r>
            <w:r>
              <w:rPr>
                <w:rFonts w:hint="eastAsia"/>
                <w:lang w:val="en-US" w:eastAsia="zh-CN"/>
              </w:rPr>
              <w:t>1t</w:t>
            </w:r>
            <w:r>
              <w:rPr>
                <w:rFonts w:hint="eastAsia"/>
                <w:lang w:eastAsia="zh-CN"/>
              </w:rPr>
              <w:t>/桶，则年产生废桶</w:t>
            </w:r>
            <w:r>
              <w:rPr>
                <w:rFonts w:hint="eastAsia"/>
                <w:lang w:val="en-US" w:eastAsia="zh-CN"/>
              </w:rPr>
              <w:t>200</w:t>
            </w:r>
            <w:r>
              <w:rPr>
                <w:rFonts w:hint="eastAsia"/>
                <w:lang w:eastAsia="zh-CN"/>
              </w:rPr>
              <w:t>个，单个桶重</w:t>
            </w:r>
            <w:r>
              <w:rPr>
                <w:rFonts w:hint="eastAsia"/>
                <w:lang w:val="en-US" w:eastAsia="zh-CN"/>
              </w:rPr>
              <w:t>65</w:t>
            </w:r>
            <w:r>
              <w:rPr>
                <w:rFonts w:hint="eastAsia"/>
                <w:lang w:eastAsia="zh-CN"/>
              </w:rPr>
              <w:t>kg，则废冷却液桶产生量约</w:t>
            </w:r>
            <w:r>
              <w:rPr>
                <w:rFonts w:hint="eastAsia"/>
                <w:lang w:val="en-US" w:eastAsia="zh-CN"/>
              </w:rPr>
              <w:t>13</w:t>
            </w:r>
            <w:r>
              <w:rPr>
                <w:rFonts w:hint="eastAsia"/>
                <w:lang w:eastAsia="zh-CN"/>
              </w:rPr>
              <w:t>t/a。</w:t>
            </w:r>
            <w:r>
              <w:rPr>
                <w:rFonts w:hint="eastAsia"/>
                <w:lang w:val="en-US" w:eastAsia="zh-CN"/>
              </w:rPr>
              <w:t>对照《固体废物分类与代码目录》</w:t>
            </w:r>
            <w:r>
              <w:rPr>
                <w:rFonts w:hint="eastAsia"/>
                <w:lang w:eastAsia="zh-CN"/>
              </w:rPr>
              <w:t>废冷却液桶</w:t>
            </w:r>
            <w:r>
              <w:rPr>
                <w:rFonts w:hint="eastAsia"/>
                <w:lang w:val="en-US" w:eastAsia="zh-CN"/>
              </w:rPr>
              <w:t>属于一般固废，固废代码为SW17：900-003-17</w:t>
            </w:r>
            <w:r>
              <w:rPr>
                <w:rFonts w:hint="eastAsia"/>
              </w:rPr>
              <w:t>，</w:t>
            </w:r>
            <w:r>
              <w:rPr>
                <w:rFonts w:hint="eastAsia"/>
                <w:lang w:val="en-US" w:eastAsia="zh-CN"/>
              </w:rPr>
              <w:t>厂家回收再利用</w:t>
            </w:r>
            <w:r>
              <w:rPr>
                <w:rFonts w:hint="eastAsia"/>
                <w:lang w:eastAsia="zh-CN"/>
              </w:rPr>
              <w:t>。</w:t>
            </w:r>
          </w:p>
          <w:p>
            <w:pPr>
              <w:bidi w:val="0"/>
              <w:rPr>
                <w:rFonts w:hint="eastAsia"/>
                <w:lang w:val="en-US" w:eastAsia="zh-CN"/>
              </w:rPr>
            </w:pPr>
            <w:r>
              <w:rPr>
                <w:rFonts w:hint="eastAsia"/>
                <w:lang w:eastAsia="zh-CN"/>
              </w:rPr>
              <w:t>（</w:t>
            </w:r>
            <w:r>
              <w:rPr>
                <w:rFonts w:hint="eastAsia"/>
                <w:lang w:val="en-US" w:eastAsia="zh-CN"/>
              </w:rPr>
              <w:t>8</w:t>
            </w:r>
            <w:r>
              <w:rPr>
                <w:rFonts w:hint="eastAsia"/>
                <w:lang w:eastAsia="zh-CN"/>
              </w:rPr>
              <w:t>）</w:t>
            </w:r>
            <w:r>
              <w:rPr>
                <w:rFonts w:hint="eastAsia"/>
                <w:lang w:val="en-US" w:eastAsia="zh-CN"/>
              </w:rPr>
              <w:t>生活垃圾</w:t>
            </w:r>
          </w:p>
          <w:p>
            <w:pPr>
              <w:bidi w:val="0"/>
              <w:rPr>
                <w:rFonts w:hint="default"/>
                <w:lang w:val="en-US" w:eastAsia="zh-CN"/>
              </w:rPr>
            </w:pPr>
            <w:r>
              <w:rPr>
                <w:rFonts w:hint="eastAsia"/>
                <w:lang w:val="en-US" w:eastAsia="zh-CN"/>
              </w:rPr>
              <w:t>本</w:t>
            </w:r>
            <w:r>
              <w:rPr>
                <w:rFonts w:hint="default"/>
                <w:lang w:val="en-US" w:eastAsia="zh-CN"/>
              </w:rPr>
              <w:t>项目</w:t>
            </w:r>
            <w:r>
              <w:rPr>
                <w:rFonts w:hint="eastAsia"/>
                <w:lang w:val="en-US" w:eastAsia="zh-CN"/>
              </w:rPr>
              <w:t>新增</w:t>
            </w:r>
            <w:r>
              <w:rPr>
                <w:rFonts w:hint="default"/>
                <w:lang w:val="en-US" w:eastAsia="zh-CN"/>
              </w:rPr>
              <w:t>职工</w:t>
            </w:r>
            <w:r>
              <w:rPr>
                <w:rFonts w:hint="eastAsia"/>
                <w:lang w:val="en-US" w:eastAsia="zh-CN"/>
              </w:rPr>
              <w:t>160</w:t>
            </w:r>
            <w:r>
              <w:rPr>
                <w:rFonts w:hint="default"/>
                <w:lang w:val="en-US" w:eastAsia="zh-CN"/>
              </w:rPr>
              <w:t>人，每人每天按1kg计，则生活垃圾产生量约为</w:t>
            </w:r>
            <w:r>
              <w:rPr>
                <w:rFonts w:hint="eastAsia"/>
                <w:lang w:val="en-US" w:eastAsia="zh-CN"/>
              </w:rPr>
              <w:t>52.8</w:t>
            </w:r>
            <w:r>
              <w:rPr>
                <w:rFonts w:hint="default"/>
                <w:lang w:val="en-US" w:eastAsia="zh-CN"/>
              </w:rPr>
              <w:t>t/a。生活垃圾在厂区内统一收集后，由环卫部门定期清运。餐厨垃圾主要成分为食物残渣，收集后交由专门的餐厨垃圾处理单位综合利用。</w:t>
            </w:r>
          </w:p>
          <w:p>
            <w:pPr>
              <w:adjustRightInd w:val="0"/>
              <w:spacing w:before="60" w:line="460" w:lineRule="exact"/>
              <w:ind w:firstLine="422"/>
              <w:rPr>
                <w:kern w:val="28"/>
              </w:rPr>
            </w:pPr>
            <w:r>
              <w:rPr>
                <w:b/>
                <w:kern w:val="28"/>
              </w:rPr>
              <w:t>2</w:t>
            </w:r>
            <w:r>
              <w:rPr>
                <w:rFonts w:hint="eastAsia"/>
                <w:b/>
                <w:kern w:val="28"/>
              </w:rPr>
              <w:t>、固体废物属性判定</w:t>
            </w:r>
          </w:p>
          <w:p>
            <w:pPr>
              <w:ind w:firstLine="420"/>
            </w:pPr>
            <w:r>
              <w:rPr>
                <w:rFonts w:hint="eastAsia"/>
              </w:rPr>
              <w:t>根据《固体废物鉴别标准通则》（GB34330-2017）的规定，本报告对项目生产过程的固废进行以下判定，详见表</w:t>
            </w:r>
            <w:r>
              <w:t>4.5-1</w:t>
            </w:r>
            <w:r>
              <w:rPr>
                <w:rFonts w:hint="eastAsia"/>
              </w:rPr>
              <w:t>。</w:t>
            </w:r>
          </w:p>
          <w:p>
            <w:pPr>
              <w:spacing w:line="240" w:lineRule="auto"/>
              <w:ind w:firstLine="0" w:firstLineChars="0"/>
              <w:jc w:val="center"/>
              <w:rPr>
                <w:b/>
                <w:bCs/>
              </w:rPr>
            </w:pPr>
            <w:r>
              <w:rPr>
                <w:rFonts w:hint="eastAsia"/>
                <w:b/>
                <w:bCs/>
              </w:rPr>
              <w:t>表4</w:t>
            </w:r>
            <w:r>
              <w:rPr>
                <w:b/>
                <w:bCs/>
              </w:rPr>
              <w:t>.5-</w:t>
            </w:r>
            <w:r>
              <w:rPr>
                <w:rFonts w:hint="eastAsia"/>
                <w:b/>
                <w:bCs/>
              </w:rPr>
              <w:t>1  项目固废属性判定表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1459"/>
              <w:gridCol w:w="1920"/>
              <w:gridCol w:w="766"/>
              <w:gridCol w:w="1520"/>
              <w:gridCol w:w="975"/>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blHeader/>
                <w:jc w:val="center"/>
              </w:trPr>
              <w:tc>
                <w:tcPr>
                  <w:tcW w:w="511" w:type="dxa"/>
                  <w:vAlign w:val="center"/>
                </w:tcPr>
                <w:p>
                  <w:pPr>
                    <w:pStyle w:val="20"/>
                  </w:pPr>
                  <w:r>
                    <w:t>序号</w:t>
                  </w:r>
                </w:p>
              </w:tc>
              <w:tc>
                <w:tcPr>
                  <w:tcW w:w="1459" w:type="dxa"/>
                  <w:vAlign w:val="center"/>
                </w:tcPr>
                <w:p>
                  <w:pPr>
                    <w:pStyle w:val="20"/>
                  </w:pPr>
                  <w:r>
                    <w:t>固废</w:t>
                  </w:r>
                  <w:r>
                    <w:rPr>
                      <w:rFonts w:hint="eastAsia"/>
                    </w:rPr>
                    <w:t>名称</w:t>
                  </w:r>
                </w:p>
              </w:tc>
              <w:tc>
                <w:tcPr>
                  <w:tcW w:w="1920" w:type="dxa"/>
                  <w:vAlign w:val="center"/>
                </w:tcPr>
                <w:p>
                  <w:pPr>
                    <w:pStyle w:val="20"/>
                  </w:pPr>
                  <w:r>
                    <w:t>产生工序</w:t>
                  </w:r>
                </w:p>
              </w:tc>
              <w:tc>
                <w:tcPr>
                  <w:tcW w:w="766" w:type="dxa"/>
                  <w:vAlign w:val="center"/>
                </w:tcPr>
                <w:p>
                  <w:pPr>
                    <w:pStyle w:val="20"/>
                  </w:pPr>
                  <w:r>
                    <w:t>形态</w:t>
                  </w:r>
                </w:p>
              </w:tc>
              <w:tc>
                <w:tcPr>
                  <w:tcW w:w="1520" w:type="dxa"/>
                  <w:vAlign w:val="center"/>
                </w:tcPr>
                <w:p>
                  <w:pPr>
                    <w:pStyle w:val="20"/>
                  </w:pPr>
                  <w:r>
                    <w:t>主要成分</w:t>
                  </w:r>
                </w:p>
              </w:tc>
              <w:tc>
                <w:tcPr>
                  <w:tcW w:w="975" w:type="dxa"/>
                  <w:vAlign w:val="center"/>
                </w:tcPr>
                <w:p>
                  <w:pPr>
                    <w:pStyle w:val="20"/>
                  </w:pPr>
                  <w:r>
                    <w:t>是否属</w:t>
                  </w:r>
                </w:p>
                <w:p>
                  <w:pPr>
                    <w:pStyle w:val="20"/>
                  </w:pPr>
                  <w:r>
                    <w:t>固体废物</w:t>
                  </w:r>
                </w:p>
              </w:tc>
              <w:tc>
                <w:tcPr>
                  <w:tcW w:w="739" w:type="dxa"/>
                  <w:vAlign w:val="center"/>
                </w:tcPr>
                <w:p>
                  <w:pPr>
                    <w:pStyle w:val="20"/>
                  </w:pPr>
                  <w: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pPr>
                  <w:r>
                    <w:t>1</w:t>
                  </w:r>
                </w:p>
              </w:tc>
              <w:tc>
                <w:tcPr>
                  <w:tcW w:w="1459" w:type="dxa"/>
                  <w:vAlign w:val="center"/>
                </w:tcPr>
                <w:p>
                  <w:pPr>
                    <w:pStyle w:val="20"/>
                    <w:rPr>
                      <w:rFonts w:hint="default" w:eastAsia="宋体"/>
                      <w:lang w:val="en-US" w:eastAsia="zh-CN"/>
                    </w:rPr>
                  </w:pPr>
                  <w:r>
                    <w:rPr>
                      <w:rFonts w:hint="eastAsia"/>
                      <w:lang w:val="en-US" w:eastAsia="zh-CN"/>
                    </w:rPr>
                    <w:t>不合格电芯</w:t>
                  </w:r>
                </w:p>
              </w:tc>
              <w:tc>
                <w:tcPr>
                  <w:tcW w:w="1920" w:type="dxa"/>
                  <w:vAlign w:val="center"/>
                </w:tcPr>
                <w:p>
                  <w:pPr>
                    <w:pStyle w:val="20"/>
                    <w:rPr>
                      <w:rFonts w:hint="default" w:eastAsia="宋体"/>
                      <w:lang w:val="en-US" w:eastAsia="zh-CN"/>
                    </w:rPr>
                  </w:pPr>
                  <w:r>
                    <w:rPr>
                      <w:rFonts w:hint="eastAsia"/>
                      <w:lang w:val="en-US" w:eastAsia="zh-CN"/>
                    </w:rPr>
                    <w:t>装配前检验测试</w:t>
                  </w:r>
                </w:p>
              </w:tc>
              <w:tc>
                <w:tcPr>
                  <w:tcW w:w="766" w:type="dxa"/>
                  <w:vAlign w:val="center"/>
                </w:tcPr>
                <w:p>
                  <w:pPr>
                    <w:pStyle w:val="20"/>
                  </w:pPr>
                  <w:r>
                    <w:rPr>
                      <w:rFonts w:hint="eastAsia"/>
                    </w:rPr>
                    <w:t>固态</w:t>
                  </w:r>
                </w:p>
              </w:tc>
              <w:tc>
                <w:tcPr>
                  <w:tcW w:w="1520" w:type="dxa"/>
                  <w:vAlign w:val="center"/>
                </w:tcPr>
                <w:p>
                  <w:pPr>
                    <w:pStyle w:val="20"/>
                    <w:rPr>
                      <w:rFonts w:hint="eastAsia" w:eastAsia="宋体"/>
                      <w:lang w:eastAsia="zh-CN"/>
                    </w:rPr>
                  </w:pPr>
                  <w:r>
                    <w:rPr>
                      <w:rFonts w:hint="eastAsia"/>
                      <w:lang w:val="en-US" w:eastAsia="zh-CN"/>
                    </w:rPr>
                    <w:t>电芯</w:t>
                  </w:r>
                </w:p>
              </w:tc>
              <w:tc>
                <w:tcPr>
                  <w:tcW w:w="975"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是</w:t>
                  </w:r>
                </w:p>
              </w:tc>
              <w:tc>
                <w:tcPr>
                  <w:tcW w:w="739" w:type="dxa"/>
                  <w:vAlign w:val="center"/>
                </w:tcPr>
                <w:p>
                  <w:pPr>
                    <w:pStyle w:val="20"/>
                    <w:ind w:firstLine="0" w:firstLineChars="0"/>
                    <w:rPr>
                      <w:rFonts w:ascii="Times New Roman" w:hAnsi="Times New Roman" w:eastAsia="宋体" w:cs="Times New Roman"/>
                      <w:color w:val="000000"/>
                      <w:kern w:val="2"/>
                      <w:sz w:val="18"/>
                      <w:szCs w:val="18"/>
                      <w:lang w:val="en-US" w:eastAsia="zh-CN" w:bidi="ar-SA"/>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pPr>
                  <w:r>
                    <w:rPr>
                      <w:rFonts w:hint="eastAsia"/>
                    </w:rPr>
                    <w:t>2</w:t>
                  </w:r>
                </w:p>
              </w:tc>
              <w:tc>
                <w:tcPr>
                  <w:tcW w:w="1459" w:type="dxa"/>
                  <w:vAlign w:val="center"/>
                </w:tcPr>
                <w:p>
                  <w:pPr>
                    <w:pStyle w:val="20"/>
                    <w:rPr>
                      <w:rFonts w:hint="eastAsia" w:eastAsia="宋体"/>
                      <w:lang w:eastAsia="zh-CN"/>
                    </w:rPr>
                  </w:pPr>
                  <w:r>
                    <w:rPr>
                      <w:rFonts w:hint="eastAsia"/>
                      <w:lang w:val="en-US" w:eastAsia="zh-CN"/>
                    </w:rPr>
                    <w:t>废胶纸</w:t>
                  </w:r>
                </w:p>
              </w:tc>
              <w:tc>
                <w:tcPr>
                  <w:tcW w:w="1920" w:type="dxa"/>
                  <w:vAlign w:val="center"/>
                </w:tcPr>
                <w:p>
                  <w:pPr>
                    <w:pStyle w:val="20"/>
                    <w:rPr>
                      <w:rFonts w:hint="default" w:eastAsia="宋体"/>
                      <w:lang w:val="en-US" w:eastAsia="zh-CN"/>
                    </w:rPr>
                  </w:pPr>
                  <w:r>
                    <w:rPr>
                      <w:rFonts w:hint="eastAsia"/>
                      <w:lang w:val="en-US" w:eastAsia="zh-CN"/>
                    </w:rPr>
                    <w:t>模组贴双面胶</w:t>
                  </w:r>
                </w:p>
              </w:tc>
              <w:tc>
                <w:tcPr>
                  <w:tcW w:w="766" w:type="dxa"/>
                  <w:vAlign w:val="center"/>
                </w:tcPr>
                <w:p>
                  <w:pPr>
                    <w:pStyle w:val="20"/>
                    <w:rPr>
                      <w:rFonts w:hint="eastAsia" w:eastAsia="宋体"/>
                      <w:lang w:eastAsia="zh-CN"/>
                    </w:rPr>
                  </w:pPr>
                  <w:r>
                    <w:rPr>
                      <w:rFonts w:hint="eastAsia"/>
                      <w:lang w:val="en-US" w:eastAsia="zh-CN"/>
                    </w:rPr>
                    <w:t>固态</w:t>
                  </w:r>
                </w:p>
              </w:tc>
              <w:tc>
                <w:tcPr>
                  <w:tcW w:w="1520" w:type="dxa"/>
                  <w:vAlign w:val="center"/>
                </w:tcPr>
                <w:p>
                  <w:pPr>
                    <w:pStyle w:val="20"/>
                    <w:rPr>
                      <w:rFonts w:hint="default" w:eastAsia="宋体"/>
                      <w:lang w:val="en-US" w:eastAsia="zh-CN"/>
                    </w:rPr>
                  </w:pPr>
                  <w:r>
                    <w:rPr>
                      <w:rFonts w:hint="eastAsia"/>
                      <w:lang w:val="en-US" w:eastAsia="zh-CN"/>
                    </w:rPr>
                    <w:t>塑料、纸</w:t>
                  </w:r>
                </w:p>
              </w:tc>
              <w:tc>
                <w:tcPr>
                  <w:tcW w:w="975" w:type="dxa"/>
                  <w:vAlign w:val="center"/>
                </w:tcPr>
                <w:p>
                  <w:pPr>
                    <w:pStyle w:val="20"/>
                  </w:pPr>
                  <w:r>
                    <w:rPr>
                      <w:rFonts w:hint="eastAsia"/>
                    </w:rPr>
                    <w:t>是</w:t>
                  </w:r>
                </w:p>
              </w:tc>
              <w:tc>
                <w:tcPr>
                  <w:tcW w:w="739" w:type="dxa"/>
                  <w:vAlign w:val="center"/>
                </w:tcPr>
                <w:p>
                  <w:pPr>
                    <w:pStyle w:val="20"/>
                    <w:rPr>
                      <w:szCs w:val="18"/>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pPr>
                  <w:r>
                    <w:rPr>
                      <w:rFonts w:hint="eastAsia"/>
                    </w:rPr>
                    <w:t>3</w:t>
                  </w:r>
                </w:p>
              </w:tc>
              <w:tc>
                <w:tcPr>
                  <w:tcW w:w="1459" w:type="dxa"/>
                  <w:vAlign w:val="center"/>
                </w:tcPr>
                <w:p>
                  <w:pPr>
                    <w:pStyle w:val="20"/>
                    <w:rPr>
                      <w:rFonts w:hint="eastAsia" w:eastAsia="宋体"/>
                      <w:lang w:eastAsia="zh-CN"/>
                    </w:rPr>
                  </w:pPr>
                  <w:r>
                    <w:rPr>
                      <w:rFonts w:hint="eastAsia"/>
                      <w:lang w:val="en-US" w:eastAsia="zh-CN"/>
                    </w:rPr>
                    <w:t>沾染化学品的废包装物</w:t>
                  </w:r>
                </w:p>
              </w:tc>
              <w:tc>
                <w:tcPr>
                  <w:tcW w:w="1920" w:type="dxa"/>
                  <w:vAlign w:val="center"/>
                </w:tcPr>
                <w:p>
                  <w:pPr>
                    <w:pStyle w:val="20"/>
                    <w:rPr>
                      <w:rFonts w:hint="default" w:eastAsia="宋体"/>
                      <w:lang w:val="en-US" w:eastAsia="zh-CN"/>
                    </w:rPr>
                  </w:pPr>
                  <w:r>
                    <w:rPr>
                      <w:rFonts w:hint="eastAsia"/>
                      <w:lang w:val="en-US" w:eastAsia="zh-CN"/>
                    </w:rPr>
                    <w:t>结构胶、、密封胶、酒精使用</w:t>
                  </w:r>
                </w:p>
              </w:tc>
              <w:tc>
                <w:tcPr>
                  <w:tcW w:w="766" w:type="dxa"/>
                  <w:vAlign w:val="center"/>
                </w:tcPr>
                <w:p>
                  <w:pPr>
                    <w:pStyle w:val="20"/>
                  </w:pPr>
                  <w:r>
                    <w:rPr>
                      <w:rFonts w:hint="eastAsia"/>
                    </w:rPr>
                    <w:t>固态</w:t>
                  </w:r>
                </w:p>
              </w:tc>
              <w:tc>
                <w:tcPr>
                  <w:tcW w:w="1520" w:type="dxa"/>
                  <w:vAlign w:val="center"/>
                </w:tcPr>
                <w:p>
                  <w:pPr>
                    <w:pStyle w:val="20"/>
                    <w:rPr>
                      <w:rFonts w:hint="default" w:eastAsia="宋体"/>
                      <w:lang w:val="en-US" w:eastAsia="zh-CN"/>
                    </w:rPr>
                  </w:pPr>
                  <w:r>
                    <w:rPr>
                      <w:rFonts w:hint="eastAsia"/>
                      <w:lang w:val="en-US" w:eastAsia="zh-CN"/>
                    </w:rPr>
                    <w:t>结构胶、酒精</w:t>
                  </w:r>
                </w:p>
              </w:tc>
              <w:tc>
                <w:tcPr>
                  <w:tcW w:w="975"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是</w:t>
                  </w:r>
                </w:p>
              </w:tc>
              <w:tc>
                <w:tcPr>
                  <w:tcW w:w="739" w:type="dxa"/>
                  <w:vAlign w:val="center"/>
                </w:tcPr>
                <w:p>
                  <w:pPr>
                    <w:pStyle w:val="20"/>
                    <w:ind w:firstLine="0" w:firstLineChars="0"/>
                    <w:rPr>
                      <w:rFonts w:ascii="Times New Roman" w:hAnsi="Times New Roman" w:eastAsia="宋体" w:cs="Times New Roman"/>
                      <w:color w:val="FF0000"/>
                      <w:kern w:val="2"/>
                      <w:sz w:val="18"/>
                      <w:szCs w:val="24"/>
                      <w:lang w:val="en-US" w:eastAsia="zh-CN" w:bidi="ar-SA"/>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pPr>
                  <w:r>
                    <w:rPr>
                      <w:rFonts w:hint="eastAsia"/>
                    </w:rPr>
                    <w:t>4</w:t>
                  </w:r>
                </w:p>
              </w:tc>
              <w:tc>
                <w:tcPr>
                  <w:tcW w:w="1459" w:type="dxa"/>
                  <w:vAlign w:val="center"/>
                </w:tcPr>
                <w:p>
                  <w:pPr>
                    <w:pStyle w:val="20"/>
                    <w:rPr>
                      <w:rFonts w:hint="eastAsia" w:eastAsia="宋体"/>
                      <w:lang w:eastAsia="zh-CN"/>
                    </w:rPr>
                  </w:pPr>
                  <w:r>
                    <w:rPr>
                      <w:rFonts w:hint="eastAsia"/>
                      <w:lang w:val="en-US" w:eastAsia="zh-CN"/>
                    </w:rPr>
                    <w:t>废胶</w:t>
                  </w:r>
                </w:p>
              </w:tc>
              <w:tc>
                <w:tcPr>
                  <w:tcW w:w="1920" w:type="dxa"/>
                  <w:vAlign w:val="center"/>
                </w:tcPr>
                <w:p>
                  <w:pPr>
                    <w:pStyle w:val="20"/>
                    <w:rPr>
                      <w:rFonts w:hint="default" w:eastAsia="宋体"/>
                      <w:lang w:val="en-US" w:eastAsia="zh-CN"/>
                    </w:rPr>
                  </w:pPr>
                  <w:r>
                    <w:rPr>
                      <w:rFonts w:hint="eastAsia"/>
                      <w:lang w:val="en-US" w:eastAsia="zh-CN"/>
                    </w:rPr>
                    <w:t>结构胶使用</w:t>
                  </w:r>
                </w:p>
              </w:tc>
              <w:tc>
                <w:tcPr>
                  <w:tcW w:w="766" w:type="dxa"/>
                  <w:vAlign w:val="center"/>
                </w:tcPr>
                <w:p>
                  <w:pPr>
                    <w:pStyle w:val="20"/>
                  </w:pPr>
                  <w:r>
                    <w:rPr>
                      <w:rFonts w:hint="eastAsia"/>
                    </w:rPr>
                    <w:t>固态</w:t>
                  </w:r>
                </w:p>
              </w:tc>
              <w:tc>
                <w:tcPr>
                  <w:tcW w:w="1520" w:type="dxa"/>
                  <w:vAlign w:val="center"/>
                </w:tcPr>
                <w:p>
                  <w:pPr>
                    <w:pStyle w:val="20"/>
                    <w:rPr>
                      <w:rFonts w:hint="eastAsia" w:eastAsia="宋体"/>
                      <w:lang w:eastAsia="zh-CN"/>
                    </w:rPr>
                  </w:pPr>
                  <w:r>
                    <w:rPr>
                      <w:rFonts w:hint="eastAsia"/>
                      <w:lang w:val="en-US" w:eastAsia="zh-CN"/>
                    </w:rPr>
                    <w:t>结构胶</w:t>
                  </w:r>
                </w:p>
              </w:tc>
              <w:tc>
                <w:tcPr>
                  <w:tcW w:w="975" w:type="dxa"/>
                  <w:vAlign w:val="center"/>
                </w:tcPr>
                <w:p>
                  <w:pPr>
                    <w:pStyle w:val="20"/>
                  </w:pPr>
                  <w:r>
                    <w:rPr>
                      <w:rFonts w:hint="eastAsia"/>
                    </w:rPr>
                    <w:t>是</w:t>
                  </w:r>
                </w:p>
              </w:tc>
              <w:tc>
                <w:tcPr>
                  <w:tcW w:w="739" w:type="dxa"/>
                  <w:vAlign w:val="center"/>
                </w:tcPr>
                <w:p>
                  <w:pPr>
                    <w:pStyle w:val="20"/>
                    <w:rPr>
                      <w:rFonts w:hint="eastAsia" w:eastAsia="宋体"/>
                      <w:szCs w:val="18"/>
                      <w:lang w:eastAsia="zh-CN"/>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rPr>
                      <w:rFonts w:hint="eastAsia" w:eastAsia="宋体"/>
                      <w:lang w:val="en-US" w:eastAsia="zh-CN"/>
                    </w:rPr>
                  </w:pPr>
                  <w:r>
                    <w:rPr>
                      <w:rFonts w:hint="eastAsia"/>
                      <w:lang w:val="en-US" w:eastAsia="zh-CN"/>
                    </w:rPr>
                    <w:t>5</w:t>
                  </w:r>
                </w:p>
              </w:tc>
              <w:tc>
                <w:tcPr>
                  <w:tcW w:w="1459" w:type="dxa"/>
                  <w:vAlign w:val="center"/>
                </w:tcPr>
                <w:p>
                  <w:pPr>
                    <w:pStyle w:val="20"/>
                    <w:rPr>
                      <w:rFonts w:hint="eastAsia"/>
                    </w:rPr>
                  </w:pPr>
                  <w:r>
                    <w:rPr>
                      <w:rFonts w:hint="eastAsia"/>
                    </w:rPr>
                    <w:t>废五金件、废线束、废包装材料</w:t>
                  </w:r>
                </w:p>
              </w:tc>
              <w:tc>
                <w:tcPr>
                  <w:tcW w:w="1920" w:type="dxa"/>
                  <w:vAlign w:val="center"/>
                </w:tcPr>
                <w:p>
                  <w:pPr>
                    <w:pStyle w:val="20"/>
                    <w:rPr>
                      <w:rFonts w:hint="default" w:eastAsia="宋体"/>
                      <w:lang w:val="en-US" w:eastAsia="zh-CN"/>
                    </w:rPr>
                  </w:pPr>
                  <w:r>
                    <w:rPr>
                      <w:rFonts w:hint="eastAsia"/>
                      <w:lang w:val="en-US" w:eastAsia="zh-CN"/>
                    </w:rPr>
                    <w:t>系统组装</w:t>
                  </w:r>
                </w:p>
              </w:tc>
              <w:tc>
                <w:tcPr>
                  <w:tcW w:w="766" w:type="dxa"/>
                  <w:vAlign w:val="center"/>
                </w:tcPr>
                <w:p>
                  <w:pPr>
                    <w:pStyle w:val="20"/>
                    <w:rPr>
                      <w:rFonts w:hint="eastAsia"/>
                    </w:rPr>
                  </w:pPr>
                  <w:r>
                    <w:rPr>
                      <w:rFonts w:hint="eastAsia"/>
                    </w:rPr>
                    <w:t>固态</w:t>
                  </w:r>
                </w:p>
              </w:tc>
              <w:tc>
                <w:tcPr>
                  <w:tcW w:w="1520" w:type="dxa"/>
                  <w:vAlign w:val="center"/>
                </w:tcPr>
                <w:p>
                  <w:pPr>
                    <w:pStyle w:val="20"/>
                    <w:rPr>
                      <w:rFonts w:hint="eastAsia"/>
                    </w:rPr>
                  </w:pPr>
                  <w:r>
                    <w:rPr>
                      <w:rFonts w:hint="eastAsia"/>
                    </w:rPr>
                    <w:t>废五金件、废线束、废包装材料</w:t>
                  </w:r>
                </w:p>
              </w:tc>
              <w:tc>
                <w:tcPr>
                  <w:tcW w:w="975"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是</w:t>
                  </w:r>
                </w:p>
              </w:tc>
              <w:tc>
                <w:tcPr>
                  <w:tcW w:w="739" w:type="dxa"/>
                  <w:vAlign w:val="center"/>
                </w:tcPr>
                <w:p>
                  <w:pPr>
                    <w:pStyle w:val="20"/>
                    <w:ind w:firstLine="0" w:firstLineChars="0"/>
                    <w:rPr>
                      <w:rFonts w:hint="eastAsia" w:ascii="Times New Roman" w:hAnsi="Times New Roman" w:eastAsia="宋体" w:cs="Times New Roman"/>
                      <w:color w:val="000000"/>
                      <w:kern w:val="2"/>
                      <w:sz w:val="18"/>
                      <w:szCs w:val="18"/>
                      <w:lang w:val="en-US" w:eastAsia="zh-CN" w:bidi="ar-SA"/>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rPr>
                      <w:rFonts w:hint="eastAsia" w:eastAsia="宋体"/>
                      <w:lang w:val="en-US" w:eastAsia="zh-CN"/>
                    </w:rPr>
                  </w:pPr>
                  <w:r>
                    <w:rPr>
                      <w:rFonts w:hint="eastAsia"/>
                      <w:lang w:val="en-US" w:eastAsia="zh-CN"/>
                    </w:rPr>
                    <w:t>6</w:t>
                  </w:r>
                </w:p>
              </w:tc>
              <w:tc>
                <w:tcPr>
                  <w:tcW w:w="1459" w:type="dxa"/>
                  <w:vAlign w:val="center"/>
                </w:tcPr>
                <w:p>
                  <w:pPr>
                    <w:pStyle w:val="20"/>
                    <w:rPr>
                      <w:rFonts w:hint="eastAsia" w:eastAsia="宋体"/>
                      <w:lang w:val="en-US" w:eastAsia="zh-CN"/>
                    </w:rPr>
                  </w:pPr>
                  <w:r>
                    <w:rPr>
                      <w:rFonts w:hint="eastAsia"/>
                      <w:lang w:val="en-US" w:eastAsia="zh-CN"/>
                    </w:rPr>
                    <w:t>废电路板</w:t>
                  </w:r>
                </w:p>
              </w:tc>
              <w:tc>
                <w:tcPr>
                  <w:tcW w:w="1920" w:type="dxa"/>
                  <w:vAlign w:val="center"/>
                </w:tcPr>
                <w:p>
                  <w:pPr>
                    <w:pStyle w:val="20"/>
                    <w:rPr>
                      <w:rFonts w:hint="default" w:eastAsia="宋体"/>
                      <w:lang w:val="en-US" w:eastAsia="zh-CN"/>
                    </w:rPr>
                  </w:pPr>
                  <w:r>
                    <w:rPr>
                      <w:rFonts w:hint="eastAsia"/>
                      <w:lang w:val="en-US" w:eastAsia="zh-CN"/>
                    </w:rPr>
                    <w:t>电芯模组</w:t>
                  </w:r>
                </w:p>
              </w:tc>
              <w:tc>
                <w:tcPr>
                  <w:tcW w:w="766" w:type="dxa"/>
                  <w:vAlign w:val="center"/>
                </w:tcPr>
                <w:p>
                  <w:pPr>
                    <w:pStyle w:val="20"/>
                    <w:rPr>
                      <w:rFonts w:hint="eastAsia" w:eastAsia="宋体"/>
                      <w:lang w:val="en-US" w:eastAsia="zh-CN"/>
                    </w:rPr>
                  </w:pPr>
                  <w:r>
                    <w:rPr>
                      <w:rFonts w:hint="eastAsia"/>
                      <w:lang w:val="en-US" w:eastAsia="zh-CN"/>
                    </w:rPr>
                    <w:t>固态</w:t>
                  </w:r>
                </w:p>
              </w:tc>
              <w:tc>
                <w:tcPr>
                  <w:tcW w:w="1520" w:type="dxa"/>
                  <w:vAlign w:val="center"/>
                </w:tcPr>
                <w:p>
                  <w:pPr>
                    <w:pStyle w:val="20"/>
                    <w:rPr>
                      <w:rFonts w:hint="eastAsia"/>
                    </w:rPr>
                  </w:pPr>
                  <w:r>
                    <w:rPr>
                      <w:rFonts w:hint="eastAsia"/>
                      <w:lang w:val="en-US" w:eastAsia="zh-CN"/>
                    </w:rPr>
                    <w:t>废电路板</w:t>
                  </w:r>
                </w:p>
              </w:tc>
              <w:tc>
                <w:tcPr>
                  <w:tcW w:w="975" w:type="dxa"/>
                  <w:vAlign w:val="center"/>
                </w:tcPr>
                <w:p>
                  <w:pPr>
                    <w:pStyle w:val="20"/>
                    <w:rPr>
                      <w:rFonts w:hint="eastAsia"/>
                    </w:rPr>
                  </w:pPr>
                  <w:r>
                    <w:rPr>
                      <w:rFonts w:hint="eastAsia"/>
                    </w:rPr>
                    <w:t>是</w:t>
                  </w:r>
                </w:p>
              </w:tc>
              <w:tc>
                <w:tcPr>
                  <w:tcW w:w="739" w:type="dxa"/>
                  <w:vAlign w:val="center"/>
                </w:tcPr>
                <w:p>
                  <w:pPr>
                    <w:pStyle w:val="20"/>
                    <w:rPr>
                      <w:rFonts w:hint="eastAsia"/>
                      <w:szCs w:val="18"/>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rPr>
                      <w:rFonts w:hint="eastAsia" w:eastAsia="宋体"/>
                      <w:lang w:val="en-US" w:eastAsia="zh-CN"/>
                    </w:rPr>
                  </w:pPr>
                  <w:r>
                    <w:rPr>
                      <w:rFonts w:hint="eastAsia"/>
                      <w:lang w:val="en-US" w:eastAsia="zh-CN"/>
                    </w:rPr>
                    <w:t>7</w:t>
                  </w:r>
                </w:p>
              </w:tc>
              <w:tc>
                <w:tcPr>
                  <w:tcW w:w="1459" w:type="dxa"/>
                  <w:vAlign w:val="center"/>
                </w:tcPr>
                <w:p>
                  <w:pPr>
                    <w:pStyle w:val="20"/>
                    <w:rPr>
                      <w:rFonts w:hint="default" w:eastAsia="宋体"/>
                      <w:lang w:val="en-US" w:eastAsia="zh-CN"/>
                    </w:rPr>
                  </w:pPr>
                  <w:r>
                    <w:rPr>
                      <w:rFonts w:hint="eastAsia"/>
                      <w:lang w:val="en-US" w:eastAsia="zh-CN"/>
                    </w:rPr>
                    <w:t>废冷却液桶</w:t>
                  </w:r>
                </w:p>
              </w:tc>
              <w:tc>
                <w:tcPr>
                  <w:tcW w:w="1920" w:type="dxa"/>
                  <w:vAlign w:val="center"/>
                </w:tcPr>
                <w:p>
                  <w:pPr>
                    <w:pStyle w:val="20"/>
                    <w:rPr>
                      <w:rFonts w:hint="default" w:eastAsia="宋体"/>
                      <w:lang w:val="en-US" w:eastAsia="zh-CN"/>
                    </w:rPr>
                  </w:pPr>
                  <w:r>
                    <w:rPr>
                      <w:rFonts w:hint="eastAsia"/>
                      <w:lang w:val="en-US" w:eastAsia="zh-CN"/>
                    </w:rPr>
                    <w:t>冷却液使用</w:t>
                  </w:r>
                </w:p>
              </w:tc>
              <w:tc>
                <w:tcPr>
                  <w:tcW w:w="766" w:type="dxa"/>
                  <w:vAlign w:val="center"/>
                </w:tcPr>
                <w:p>
                  <w:pPr>
                    <w:pStyle w:val="20"/>
                    <w:rPr>
                      <w:rFonts w:hint="eastAsia" w:eastAsia="宋体"/>
                      <w:lang w:val="en-US" w:eastAsia="zh-CN"/>
                    </w:rPr>
                  </w:pPr>
                  <w:r>
                    <w:rPr>
                      <w:rFonts w:hint="eastAsia"/>
                      <w:lang w:val="en-US" w:eastAsia="zh-CN"/>
                    </w:rPr>
                    <w:t>固态</w:t>
                  </w:r>
                </w:p>
              </w:tc>
              <w:tc>
                <w:tcPr>
                  <w:tcW w:w="1520" w:type="dxa"/>
                  <w:vAlign w:val="center"/>
                </w:tcPr>
                <w:p>
                  <w:pPr>
                    <w:pStyle w:val="20"/>
                    <w:rPr>
                      <w:rFonts w:hint="default" w:eastAsia="宋体"/>
                      <w:lang w:val="en-US" w:eastAsia="zh-CN"/>
                    </w:rPr>
                  </w:pPr>
                  <w:r>
                    <w:rPr>
                      <w:rFonts w:hint="eastAsia"/>
                      <w:lang w:val="en-US" w:eastAsia="zh-CN"/>
                    </w:rPr>
                    <w:t>冷却液、塑料</w:t>
                  </w:r>
                </w:p>
              </w:tc>
              <w:tc>
                <w:tcPr>
                  <w:tcW w:w="975"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否</w:t>
                  </w:r>
                </w:p>
              </w:tc>
              <w:tc>
                <w:tcPr>
                  <w:tcW w:w="739" w:type="dxa"/>
                  <w:vAlign w:val="center"/>
                </w:tcPr>
                <w:p>
                  <w:pPr>
                    <w:pStyle w:val="20"/>
                    <w:ind w:firstLine="0" w:firstLineChars="0"/>
                    <w:rPr>
                      <w:rFonts w:hint="eastAsia" w:ascii="Times New Roman" w:hAnsi="Times New Roman" w:eastAsia="宋体" w:cs="Times New Roman"/>
                      <w:color w:val="FF0000"/>
                      <w:kern w:val="2"/>
                      <w:sz w:val="18"/>
                      <w:szCs w:val="24"/>
                      <w:lang w:val="en-US" w:eastAsia="zh-CN" w:bidi="ar-SA"/>
                    </w:rPr>
                  </w:pPr>
                  <w:r>
                    <w:rPr>
                      <w:rFonts w:hint="eastAsia"/>
                      <w:lang w:val="en-US" w:eastAsia="zh-CN"/>
                    </w:rPr>
                    <w:t>6</w:t>
                  </w:r>
                  <w:r>
                    <w:rPr>
                      <w:rFonts w:hint="eastAsia"/>
                    </w:rPr>
                    <w:t>.</w:t>
                  </w:r>
                  <w:r>
                    <w:t>1</w:t>
                  </w:r>
                  <w:r>
                    <w:rPr>
                      <w:rFonts w:hint="eastAsia"/>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11" w:type="dxa"/>
                  <w:vAlign w:val="center"/>
                </w:tcPr>
                <w:p>
                  <w:pPr>
                    <w:pStyle w:val="20"/>
                    <w:rPr>
                      <w:rFonts w:hint="eastAsia" w:eastAsia="宋体"/>
                      <w:lang w:val="en-US" w:eastAsia="zh-CN"/>
                    </w:rPr>
                  </w:pPr>
                  <w:r>
                    <w:rPr>
                      <w:rFonts w:hint="eastAsia"/>
                      <w:lang w:val="en-US" w:eastAsia="zh-CN"/>
                    </w:rPr>
                    <w:t>8</w:t>
                  </w:r>
                </w:p>
              </w:tc>
              <w:tc>
                <w:tcPr>
                  <w:tcW w:w="1459" w:type="dxa"/>
                  <w:vAlign w:val="center"/>
                </w:tcPr>
                <w:p>
                  <w:pPr>
                    <w:pStyle w:val="20"/>
                    <w:rPr>
                      <w:rFonts w:hint="eastAsia" w:eastAsia="宋体"/>
                      <w:lang w:val="en-US" w:eastAsia="zh-CN"/>
                    </w:rPr>
                  </w:pPr>
                  <w:r>
                    <w:rPr>
                      <w:rFonts w:hint="eastAsia"/>
                      <w:lang w:val="en-US" w:eastAsia="zh-CN"/>
                    </w:rPr>
                    <w:t>生活垃圾</w:t>
                  </w:r>
                </w:p>
              </w:tc>
              <w:tc>
                <w:tcPr>
                  <w:tcW w:w="1920" w:type="dxa"/>
                  <w:vAlign w:val="center"/>
                </w:tcPr>
                <w:p>
                  <w:pPr>
                    <w:pStyle w:val="20"/>
                    <w:rPr>
                      <w:rFonts w:hint="default" w:eastAsia="宋体"/>
                      <w:lang w:val="en-US" w:eastAsia="zh-CN"/>
                    </w:rPr>
                  </w:pPr>
                  <w:r>
                    <w:rPr>
                      <w:rFonts w:hint="eastAsia"/>
                      <w:lang w:val="en-US" w:eastAsia="zh-CN"/>
                    </w:rPr>
                    <w:t>员工生活</w:t>
                  </w:r>
                </w:p>
              </w:tc>
              <w:tc>
                <w:tcPr>
                  <w:tcW w:w="766" w:type="dxa"/>
                  <w:vAlign w:val="center"/>
                </w:tcPr>
                <w:p>
                  <w:pPr>
                    <w:pStyle w:val="20"/>
                    <w:rPr>
                      <w:rFonts w:hint="eastAsia" w:eastAsia="宋体"/>
                      <w:lang w:val="en-US" w:eastAsia="zh-CN"/>
                    </w:rPr>
                  </w:pPr>
                  <w:r>
                    <w:rPr>
                      <w:rFonts w:hint="eastAsia"/>
                      <w:lang w:val="en-US" w:eastAsia="zh-CN"/>
                    </w:rPr>
                    <w:t>固态</w:t>
                  </w:r>
                </w:p>
              </w:tc>
              <w:tc>
                <w:tcPr>
                  <w:tcW w:w="1520" w:type="dxa"/>
                  <w:vAlign w:val="center"/>
                </w:tcPr>
                <w:p>
                  <w:pPr>
                    <w:pStyle w:val="20"/>
                    <w:rPr>
                      <w:rFonts w:hint="eastAsia"/>
                    </w:rPr>
                  </w:pPr>
                  <w:r>
                    <w:rPr>
                      <w:rFonts w:hint="eastAsia"/>
                      <w:lang w:val="en-US" w:eastAsia="zh-CN"/>
                    </w:rPr>
                    <w:t>果皮、纸张</w:t>
                  </w:r>
                </w:p>
              </w:tc>
              <w:tc>
                <w:tcPr>
                  <w:tcW w:w="975" w:type="dxa"/>
                  <w:vAlign w:val="center"/>
                </w:tcPr>
                <w:p>
                  <w:pPr>
                    <w:pStyle w:val="20"/>
                    <w:rPr>
                      <w:rFonts w:hint="default" w:eastAsia="宋体"/>
                      <w:lang w:val="en-US" w:eastAsia="zh-CN"/>
                    </w:rPr>
                  </w:pPr>
                  <w:r>
                    <w:rPr>
                      <w:rFonts w:hint="eastAsia"/>
                      <w:lang w:val="en-US" w:eastAsia="zh-CN"/>
                    </w:rPr>
                    <w:t>是</w:t>
                  </w:r>
                </w:p>
              </w:tc>
              <w:tc>
                <w:tcPr>
                  <w:tcW w:w="739" w:type="dxa"/>
                  <w:vAlign w:val="center"/>
                </w:tcPr>
                <w:p>
                  <w:pPr>
                    <w:pStyle w:val="20"/>
                    <w:rPr>
                      <w:rFonts w:hint="eastAsia"/>
                      <w:szCs w:val="18"/>
                    </w:rPr>
                  </w:pPr>
                  <w:r>
                    <w:rPr>
                      <w:rFonts w:hint="eastAsia"/>
                      <w:szCs w:val="18"/>
                    </w:rPr>
                    <w:t>4</w:t>
                  </w:r>
                  <w:r>
                    <w:rPr>
                      <w:szCs w:val="18"/>
                    </w:rPr>
                    <w:t>.</w:t>
                  </w:r>
                  <w:r>
                    <w:rPr>
                      <w:rFonts w:hint="eastAsia"/>
                      <w:szCs w:val="18"/>
                      <w:lang w:val="en-US" w:eastAsia="zh-CN"/>
                    </w:rPr>
                    <w:t>1</w:t>
                  </w:r>
                  <w:r>
                    <w:rPr>
                      <w:szCs w:val="18"/>
                    </w:rPr>
                    <w:t>-</w:t>
                  </w:r>
                  <w:r>
                    <w:rPr>
                      <w:rFonts w:hint="eastAsia"/>
                      <w:szCs w:val="18"/>
                      <w:lang w:val="en-US" w:eastAsia="zh-CN"/>
                    </w:rPr>
                    <w:t>h</w:t>
                  </w:r>
                </w:p>
              </w:tc>
            </w:tr>
          </w:tbl>
          <w:p>
            <w:pPr>
              <w:adjustRightInd w:val="0"/>
              <w:spacing w:before="60" w:line="460" w:lineRule="exact"/>
              <w:ind w:firstLine="422"/>
              <w:rPr>
                <w:b/>
                <w:kern w:val="28"/>
              </w:rPr>
            </w:pPr>
            <w:r>
              <w:rPr>
                <w:rFonts w:hint="eastAsia"/>
                <w:b/>
                <w:kern w:val="28"/>
              </w:rPr>
              <w:t>3、危险废物属性判定</w:t>
            </w:r>
          </w:p>
          <w:p>
            <w:pPr>
              <w:ind w:firstLine="420"/>
            </w:pPr>
            <w:r>
              <w:rPr>
                <w:rFonts w:hint="eastAsia"/>
              </w:rPr>
              <w:t>根据《国家危险废物名录》（2021年版）以及《危险废物鉴别标准》，项目固体废物危险特性鉴别见表</w:t>
            </w:r>
            <w:r>
              <w:t>4.5-2</w:t>
            </w:r>
            <w:r>
              <w:rPr>
                <w:rFonts w:hint="eastAsia"/>
              </w:rPr>
              <w:t>。</w:t>
            </w:r>
          </w:p>
          <w:p>
            <w:pPr>
              <w:ind w:firstLine="0" w:firstLineChars="0"/>
              <w:jc w:val="center"/>
              <w:rPr>
                <w:rFonts w:hint="eastAsia"/>
                <w:b/>
                <w:bCs/>
              </w:rPr>
            </w:pPr>
          </w:p>
          <w:p>
            <w:pPr>
              <w:ind w:firstLine="0" w:firstLineChars="0"/>
              <w:jc w:val="center"/>
              <w:rPr>
                <w:rFonts w:hint="eastAsia"/>
                <w:b/>
                <w:bCs/>
              </w:rPr>
            </w:pPr>
          </w:p>
          <w:p>
            <w:pPr>
              <w:ind w:firstLine="0" w:firstLineChars="0"/>
              <w:jc w:val="center"/>
              <w:rPr>
                <w:b/>
                <w:bCs/>
              </w:rPr>
            </w:pPr>
            <w:r>
              <w:rPr>
                <w:rFonts w:hint="eastAsia"/>
                <w:b/>
                <w:bCs/>
              </w:rPr>
              <w:t>表</w:t>
            </w:r>
            <w:r>
              <w:rPr>
                <w:b/>
                <w:bCs/>
              </w:rPr>
              <w:t>4.5-2</w:t>
            </w:r>
            <w:r>
              <w:rPr>
                <w:rFonts w:hint="eastAsia"/>
                <w:b/>
                <w:bCs/>
              </w:rPr>
              <w:t xml:space="preserve">  危险废物属性判定</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967"/>
              <w:gridCol w:w="1586"/>
              <w:gridCol w:w="1117"/>
              <w:gridCol w:w="2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55" w:type="dxa"/>
                  <w:vAlign w:val="center"/>
                </w:tcPr>
                <w:p>
                  <w:pPr>
                    <w:pStyle w:val="20"/>
                  </w:pPr>
                  <w:r>
                    <w:t>序号</w:t>
                  </w:r>
                </w:p>
              </w:tc>
              <w:tc>
                <w:tcPr>
                  <w:tcW w:w="1967" w:type="dxa"/>
                  <w:vAlign w:val="center"/>
                </w:tcPr>
                <w:p>
                  <w:pPr>
                    <w:pStyle w:val="20"/>
                  </w:pPr>
                  <w:r>
                    <w:t>固体废物名称</w:t>
                  </w:r>
                </w:p>
              </w:tc>
              <w:tc>
                <w:tcPr>
                  <w:tcW w:w="1586" w:type="dxa"/>
                  <w:vAlign w:val="center"/>
                </w:tcPr>
                <w:p>
                  <w:pPr>
                    <w:pStyle w:val="20"/>
                  </w:pPr>
                  <w:r>
                    <w:t>产生工序</w:t>
                  </w:r>
                </w:p>
              </w:tc>
              <w:tc>
                <w:tcPr>
                  <w:tcW w:w="1117" w:type="dxa"/>
                  <w:vAlign w:val="center"/>
                </w:tcPr>
                <w:p>
                  <w:pPr>
                    <w:pStyle w:val="20"/>
                  </w:pPr>
                  <w:r>
                    <w:t>是否属于</w:t>
                  </w:r>
                </w:p>
                <w:p>
                  <w:pPr>
                    <w:pStyle w:val="20"/>
                  </w:pPr>
                  <w:r>
                    <w:t>危险废物</w:t>
                  </w:r>
                </w:p>
              </w:tc>
              <w:tc>
                <w:tcPr>
                  <w:tcW w:w="2465" w:type="dxa"/>
                  <w:vAlign w:val="center"/>
                </w:tcPr>
                <w:p>
                  <w:pPr>
                    <w:pStyle w:val="20"/>
                  </w:pPr>
                  <w:r>
                    <w:rPr>
                      <w:rFonts w:hint="eastAsia"/>
                    </w:rPr>
                    <w:t>危废代码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55"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t>1</w:t>
                  </w:r>
                </w:p>
              </w:tc>
              <w:tc>
                <w:tcPr>
                  <w:tcW w:w="1967"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不合格电芯</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装配前检验测试</w:t>
                  </w:r>
                </w:p>
              </w:tc>
              <w:tc>
                <w:tcPr>
                  <w:tcW w:w="1117" w:type="dxa"/>
                  <w:vAlign w:val="center"/>
                </w:tcPr>
                <w:p>
                  <w:pPr>
                    <w:pStyle w:val="20"/>
                  </w:pPr>
                  <w:r>
                    <w:rPr>
                      <w:rFonts w:hint="eastAsia"/>
                    </w:rPr>
                    <w:t>否</w:t>
                  </w:r>
                </w:p>
              </w:tc>
              <w:tc>
                <w:tcPr>
                  <w:tcW w:w="2465" w:type="dxa"/>
                  <w:vAlign w:val="center"/>
                </w:tcPr>
                <w:p>
                  <w:pPr>
                    <w:pStyle w:val="2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2</w:t>
                  </w:r>
                </w:p>
              </w:tc>
              <w:tc>
                <w:tcPr>
                  <w:tcW w:w="1967"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废胶纸</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模组贴双面胶</w:t>
                  </w:r>
                </w:p>
              </w:tc>
              <w:tc>
                <w:tcPr>
                  <w:tcW w:w="1117"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否</w:t>
                  </w:r>
                </w:p>
              </w:tc>
              <w:tc>
                <w:tcPr>
                  <w:tcW w:w="2465"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55"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3</w:t>
                  </w:r>
                </w:p>
              </w:tc>
              <w:tc>
                <w:tcPr>
                  <w:tcW w:w="1967"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沾染化学品的废包装物</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结构胶、密封胶、酒精使用</w:t>
                  </w:r>
                </w:p>
              </w:tc>
              <w:tc>
                <w:tcPr>
                  <w:tcW w:w="1117" w:type="dxa"/>
                  <w:vAlign w:val="center"/>
                </w:tcPr>
                <w:p>
                  <w:pPr>
                    <w:pStyle w:val="20"/>
                  </w:pPr>
                  <w:r>
                    <w:rPr>
                      <w:rFonts w:hint="eastAsia"/>
                    </w:rPr>
                    <w:t>是</w:t>
                  </w:r>
                </w:p>
              </w:tc>
              <w:tc>
                <w:tcPr>
                  <w:tcW w:w="2465" w:type="dxa"/>
                  <w:vAlign w:val="center"/>
                </w:tcPr>
                <w:p>
                  <w:pPr>
                    <w:pStyle w:val="20"/>
                  </w:pPr>
                  <w:r>
                    <w:t>HW49:900-0</w:t>
                  </w:r>
                  <w:r>
                    <w:rPr>
                      <w:rFonts w:hint="eastAsia"/>
                      <w:lang w:val="en-US" w:eastAsia="zh-CN"/>
                    </w:rPr>
                    <w:t>41</w:t>
                  </w:r>
                  <w: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55" w:type="dxa"/>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4</w:t>
                  </w:r>
                </w:p>
              </w:tc>
              <w:tc>
                <w:tcPr>
                  <w:tcW w:w="1967"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废胶</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结构胶使用</w:t>
                  </w:r>
                </w:p>
              </w:tc>
              <w:tc>
                <w:tcPr>
                  <w:tcW w:w="1117" w:type="dxa"/>
                  <w:vAlign w:val="center"/>
                </w:tcPr>
                <w:p>
                  <w:pPr>
                    <w:pStyle w:val="20"/>
                  </w:pPr>
                  <w:r>
                    <w:rPr>
                      <w:rFonts w:hint="eastAsia"/>
                    </w:rPr>
                    <w:t>是</w:t>
                  </w:r>
                </w:p>
              </w:tc>
              <w:tc>
                <w:tcPr>
                  <w:tcW w:w="2465" w:type="dxa"/>
                  <w:vAlign w:val="center"/>
                </w:tcPr>
                <w:p>
                  <w:pPr>
                    <w:pStyle w:val="20"/>
                    <w:rPr>
                      <w:rFonts w:hint="default" w:eastAsia="宋体"/>
                      <w:lang w:val="en-US" w:eastAsia="zh-CN"/>
                    </w:rPr>
                  </w:pPr>
                  <w:r>
                    <w:t>HW</w:t>
                  </w:r>
                  <w:r>
                    <w:rPr>
                      <w:rFonts w:hint="eastAsia"/>
                      <w:lang w:val="en-US" w:eastAsia="zh-CN"/>
                    </w:rPr>
                    <w:t>13</w:t>
                  </w:r>
                  <w:r>
                    <w:t>:900-0</w:t>
                  </w:r>
                  <w:r>
                    <w:rPr>
                      <w:rFonts w:hint="eastAsia"/>
                      <w:lang w:val="en-US" w:eastAsia="zh-CN"/>
                    </w:rPr>
                    <w:t>14</w:t>
                  </w:r>
                  <w:r>
                    <w:t>-</w:t>
                  </w:r>
                  <w:r>
                    <w:rPr>
                      <w:rFonts w:hint="eastAsia"/>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0" w:type="auto"/>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5</w:t>
                  </w:r>
                </w:p>
              </w:tc>
              <w:tc>
                <w:tcPr>
                  <w:tcW w:w="1967"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rPr>
                    <w:t>废五金件、废线束、废包装材料</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系统组装</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否</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0" w:type="auto"/>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6</w:t>
                  </w:r>
                </w:p>
              </w:tc>
              <w:tc>
                <w:tcPr>
                  <w:tcW w:w="1967"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废电路板</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电芯模组</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是</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t>HW49:900-0</w:t>
                  </w:r>
                  <w:r>
                    <w:rPr>
                      <w:rFonts w:hint="eastAsia"/>
                      <w:lang w:val="en-US" w:eastAsia="zh-CN"/>
                    </w:rPr>
                    <w:t>45</w:t>
                  </w:r>
                  <w: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0" w:type="auto"/>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7</w:t>
                  </w:r>
                </w:p>
              </w:tc>
              <w:tc>
                <w:tcPr>
                  <w:tcW w:w="1967"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生活垃圾</w:t>
                  </w:r>
                </w:p>
              </w:tc>
              <w:tc>
                <w:tcPr>
                  <w:tcW w:w="1586" w:type="dxa"/>
                  <w:vAlign w:val="center"/>
                </w:tcPr>
                <w:p>
                  <w:pPr>
                    <w:pStyle w:val="20"/>
                    <w:ind w:firstLine="0" w:firstLineChars="0"/>
                    <w:rPr>
                      <w:rFonts w:hint="default" w:ascii="Times New Roman" w:hAnsi="Times New Roman" w:eastAsia="宋体" w:cs="Times New Roman"/>
                      <w:color w:val="000000"/>
                      <w:kern w:val="2"/>
                      <w:sz w:val="18"/>
                      <w:szCs w:val="24"/>
                      <w:lang w:val="en-US" w:eastAsia="zh-CN" w:bidi="ar-SA"/>
                    </w:rPr>
                  </w:pPr>
                  <w:r>
                    <w:rPr>
                      <w:rFonts w:hint="eastAsia"/>
                      <w:lang w:val="en-US" w:eastAsia="zh-CN"/>
                    </w:rPr>
                    <w:t>员工生活</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否</w:t>
                  </w:r>
                </w:p>
              </w:tc>
              <w:tc>
                <w:tcPr>
                  <w:tcW w:w="0" w:type="auto"/>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w:t>
                  </w:r>
                </w:p>
              </w:tc>
            </w:tr>
          </w:tbl>
          <w:p>
            <w:pPr>
              <w:adjustRightInd w:val="0"/>
              <w:ind w:firstLine="420"/>
            </w:pPr>
            <w:r>
              <w:rPr>
                <w:rFonts w:hint="eastAsia"/>
              </w:rPr>
              <w:t>综上所述，本项目危险废物汇总见表4</w:t>
            </w:r>
            <w:r>
              <w:t>.5-3</w:t>
            </w:r>
            <w:r>
              <w:rPr>
                <w:rFonts w:hint="eastAsia"/>
              </w:rPr>
              <w:t>。</w:t>
            </w:r>
          </w:p>
          <w:p>
            <w:pPr>
              <w:ind w:firstLine="0" w:firstLineChars="0"/>
              <w:jc w:val="center"/>
              <w:rPr>
                <w:b/>
                <w:bCs/>
              </w:rPr>
            </w:pPr>
            <w:r>
              <w:rPr>
                <w:b/>
                <w:bCs/>
              </w:rPr>
              <w:t>表</w:t>
            </w:r>
            <w:r>
              <w:rPr>
                <w:rFonts w:hint="default"/>
                <w:b/>
                <w:bCs/>
              </w:rPr>
              <w:t>4.5-</w:t>
            </w:r>
            <w:r>
              <w:rPr>
                <w:b/>
                <w:bCs/>
              </w:rPr>
              <w:t>3</w:t>
            </w:r>
            <w:r>
              <w:rPr>
                <w:rFonts w:hint="default"/>
                <w:b/>
                <w:bCs/>
              </w:rPr>
              <w:t xml:space="preserve">  </w:t>
            </w:r>
            <w:r>
              <w:rPr>
                <w:b/>
                <w:bCs/>
              </w:rPr>
              <w:t>本项目危险废物分析结果汇总表</w:t>
            </w:r>
          </w:p>
          <w:tbl>
            <w:tblPr>
              <w:tblStyle w:val="15"/>
              <w:tblW w:w="79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7"/>
              <w:gridCol w:w="802"/>
              <w:gridCol w:w="792"/>
              <w:gridCol w:w="877"/>
              <w:gridCol w:w="669"/>
              <w:gridCol w:w="761"/>
              <w:gridCol w:w="454"/>
              <w:gridCol w:w="770"/>
              <w:gridCol w:w="723"/>
              <w:gridCol w:w="582"/>
              <w:gridCol w:w="595"/>
              <w:gridCol w:w="5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Align w:val="center"/>
                </w:tcPr>
                <w:p>
                  <w:pPr>
                    <w:pStyle w:val="20"/>
                  </w:pPr>
                  <w:r>
                    <w:t>序号</w:t>
                  </w:r>
                </w:p>
              </w:tc>
              <w:tc>
                <w:tcPr>
                  <w:tcW w:w="802" w:type="dxa"/>
                  <w:vAlign w:val="center"/>
                </w:tcPr>
                <w:p>
                  <w:pPr>
                    <w:pStyle w:val="20"/>
                  </w:pPr>
                  <w:r>
                    <w:t>危险废物名称</w:t>
                  </w:r>
                </w:p>
              </w:tc>
              <w:tc>
                <w:tcPr>
                  <w:tcW w:w="792" w:type="dxa"/>
                  <w:vAlign w:val="center"/>
                </w:tcPr>
                <w:p>
                  <w:pPr>
                    <w:pStyle w:val="20"/>
                  </w:pPr>
                  <w:r>
                    <w:t>危险废物类别</w:t>
                  </w:r>
                </w:p>
              </w:tc>
              <w:tc>
                <w:tcPr>
                  <w:tcW w:w="877" w:type="dxa"/>
                  <w:vAlign w:val="center"/>
                </w:tcPr>
                <w:p>
                  <w:pPr>
                    <w:pStyle w:val="20"/>
                  </w:pPr>
                  <w:r>
                    <w:t>危废物</w:t>
                  </w:r>
                </w:p>
                <w:p>
                  <w:pPr>
                    <w:pStyle w:val="20"/>
                  </w:pPr>
                  <w:r>
                    <w:t>代码</w:t>
                  </w:r>
                </w:p>
              </w:tc>
              <w:tc>
                <w:tcPr>
                  <w:tcW w:w="669" w:type="dxa"/>
                  <w:vAlign w:val="center"/>
                </w:tcPr>
                <w:p>
                  <w:pPr>
                    <w:pStyle w:val="20"/>
                  </w:pPr>
                  <w:r>
                    <w:t>产生量（吨/年）</w:t>
                  </w:r>
                </w:p>
              </w:tc>
              <w:tc>
                <w:tcPr>
                  <w:tcW w:w="761" w:type="dxa"/>
                  <w:vAlign w:val="center"/>
                </w:tcPr>
                <w:p>
                  <w:pPr>
                    <w:pStyle w:val="20"/>
                  </w:pPr>
                  <w:r>
                    <w:t>产生工序及装置</w:t>
                  </w:r>
                </w:p>
              </w:tc>
              <w:tc>
                <w:tcPr>
                  <w:tcW w:w="454" w:type="dxa"/>
                  <w:vAlign w:val="center"/>
                </w:tcPr>
                <w:p>
                  <w:pPr>
                    <w:pStyle w:val="20"/>
                  </w:pPr>
                  <w:r>
                    <w:t>形态</w:t>
                  </w:r>
                </w:p>
              </w:tc>
              <w:tc>
                <w:tcPr>
                  <w:tcW w:w="770" w:type="dxa"/>
                  <w:vAlign w:val="center"/>
                </w:tcPr>
                <w:p>
                  <w:pPr>
                    <w:pStyle w:val="20"/>
                  </w:pPr>
                  <w:r>
                    <w:t>主要</w:t>
                  </w:r>
                </w:p>
                <w:p>
                  <w:pPr>
                    <w:pStyle w:val="20"/>
                  </w:pPr>
                  <w:r>
                    <w:t>成分</w:t>
                  </w:r>
                </w:p>
              </w:tc>
              <w:tc>
                <w:tcPr>
                  <w:tcW w:w="723" w:type="dxa"/>
                  <w:vAlign w:val="center"/>
                </w:tcPr>
                <w:p>
                  <w:pPr>
                    <w:pStyle w:val="20"/>
                  </w:pPr>
                  <w:r>
                    <w:t>有害成分</w:t>
                  </w:r>
                </w:p>
              </w:tc>
              <w:tc>
                <w:tcPr>
                  <w:tcW w:w="582" w:type="dxa"/>
                  <w:vAlign w:val="center"/>
                </w:tcPr>
                <w:p>
                  <w:pPr>
                    <w:pStyle w:val="20"/>
                  </w:pPr>
                  <w:r>
                    <w:t>产废周期</w:t>
                  </w:r>
                </w:p>
              </w:tc>
              <w:tc>
                <w:tcPr>
                  <w:tcW w:w="595" w:type="dxa"/>
                  <w:vAlign w:val="center"/>
                </w:tcPr>
                <w:p>
                  <w:pPr>
                    <w:pStyle w:val="20"/>
                  </w:pPr>
                  <w:r>
                    <w:t>危险</w:t>
                  </w:r>
                </w:p>
                <w:p>
                  <w:pPr>
                    <w:pStyle w:val="20"/>
                  </w:pPr>
                  <w:r>
                    <w:t>特性</w:t>
                  </w:r>
                </w:p>
              </w:tc>
              <w:tc>
                <w:tcPr>
                  <w:tcW w:w="576" w:type="dxa"/>
                  <w:vAlign w:val="center"/>
                </w:tcPr>
                <w:p>
                  <w:pPr>
                    <w:pStyle w:val="20"/>
                  </w:pPr>
                  <w:r>
                    <w:t>污染防治措施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Align w:val="center"/>
                </w:tcPr>
                <w:p>
                  <w:pPr>
                    <w:pStyle w:val="20"/>
                  </w:pPr>
                  <w:r>
                    <w:rPr>
                      <w:rFonts w:hint="eastAsia"/>
                    </w:rPr>
                    <w:t>1</w:t>
                  </w:r>
                </w:p>
              </w:tc>
              <w:tc>
                <w:tcPr>
                  <w:tcW w:w="802" w:type="dxa"/>
                  <w:vAlign w:val="center"/>
                </w:tcPr>
                <w:p>
                  <w:pPr>
                    <w:pStyle w:val="20"/>
                    <w:rPr>
                      <w:rFonts w:hint="default" w:eastAsia="宋体"/>
                      <w:lang w:val="en-US" w:eastAsia="zh-CN"/>
                    </w:rPr>
                  </w:pPr>
                  <w:r>
                    <w:rPr>
                      <w:rFonts w:hint="eastAsia"/>
                      <w:lang w:val="en-US" w:eastAsia="zh-CN"/>
                    </w:rPr>
                    <w:t>沾染化学品的废包装物</w:t>
                  </w:r>
                </w:p>
              </w:tc>
              <w:tc>
                <w:tcPr>
                  <w:tcW w:w="792" w:type="dxa"/>
                  <w:vAlign w:val="center"/>
                </w:tcPr>
                <w:p>
                  <w:pPr>
                    <w:pStyle w:val="20"/>
                  </w:pPr>
                  <w:r>
                    <w:rPr>
                      <w:rFonts w:hint="eastAsia"/>
                    </w:rPr>
                    <w:t>HW49</w:t>
                  </w:r>
                </w:p>
              </w:tc>
              <w:tc>
                <w:tcPr>
                  <w:tcW w:w="877" w:type="dxa"/>
                  <w:vAlign w:val="center"/>
                </w:tcPr>
                <w:p>
                  <w:pPr>
                    <w:pStyle w:val="20"/>
                    <w:rPr>
                      <w:rFonts w:hint="default" w:eastAsia="宋体"/>
                      <w:lang w:val="en-US" w:eastAsia="zh-CN"/>
                    </w:rPr>
                  </w:pPr>
                  <w:r>
                    <w:t>900-</w:t>
                  </w:r>
                  <w:r>
                    <w:rPr>
                      <w:rFonts w:hint="eastAsia"/>
                      <w:lang w:val="en-US" w:eastAsia="zh-CN"/>
                    </w:rPr>
                    <w:t>041</w:t>
                  </w:r>
                  <w:r>
                    <w:t>-</w:t>
                  </w:r>
                  <w:r>
                    <w:rPr>
                      <w:rFonts w:hint="eastAsia"/>
                      <w:lang w:val="en-US" w:eastAsia="zh-CN"/>
                    </w:rPr>
                    <w:t>49</w:t>
                  </w:r>
                </w:p>
              </w:tc>
              <w:tc>
                <w:tcPr>
                  <w:tcW w:w="669" w:type="dxa"/>
                  <w:vAlign w:val="center"/>
                </w:tcPr>
                <w:p>
                  <w:pPr>
                    <w:pStyle w:val="20"/>
                    <w:rPr>
                      <w:rFonts w:hint="default" w:eastAsia="宋体"/>
                      <w:lang w:val="en-US" w:eastAsia="zh-CN"/>
                    </w:rPr>
                  </w:pPr>
                  <w:r>
                    <w:rPr>
                      <w:rFonts w:hint="eastAsia"/>
                      <w:lang w:val="en-US" w:eastAsia="zh-CN"/>
                    </w:rPr>
                    <w:t>1.464</w:t>
                  </w:r>
                </w:p>
              </w:tc>
              <w:tc>
                <w:tcPr>
                  <w:tcW w:w="761" w:type="dxa"/>
                  <w:vAlign w:val="center"/>
                </w:tcPr>
                <w:p>
                  <w:pPr>
                    <w:pStyle w:val="20"/>
                    <w:rPr>
                      <w:rFonts w:hint="default" w:eastAsia="宋体"/>
                      <w:lang w:val="en-US" w:eastAsia="zh-CN"/>
                    </w:rPr>
                  </w:pPr>
                  <w:r>
                    <w:rPr>
                      <w:rFonts w:hint="eastAsia"/>
                      <w:lang w:val="en-US" w:eastAsia="zh-CN"/>
                    </w:rPr>
                    <w:t>结构胶、密封胶、酒精使用</w:t>
                  </w:r>
                </w:p>
              </w:tc>
              <w:tc>
                <w:tcPr>
                  <w:tcW w:w="454" w:type="dxa"/>
                  <w:vAlign w:val="center"/>
                </w:tcPr>
                <w:p>
                  <w:pPr>
                    <w:pStyle w:val="20"/>
                    <w:rPr>
                      <w:rFonts w:hint="eastAsia" w:eastAsia="宋体"/>
                      <w:lang w:eastAsia="zh-CN"/>
                    </w:rPr>
                  </w:pPr>
                  <w:r>
                    <w:rPr>
                      <w:rFonts w:hint="eastAsia"/>
                      <w:lang w:val="en-US" w:eastAsia="zh-CN"/>
                    </w:rPr>
                    <w:t>固态</w:t>
                  </w:r>
                </w:p>
              </w:tc>
              <w:tc>
                <w:tcPr>
                  <w:tcW w:w="770" w:type="dxa"/>
                  <w:vAlign w:val="center"/>
                </w:tcPr>
                <w:p>
                  <w:pPr>
                    <w:pStyle w:val="20"/>
                    <w:rPr>
                      <w:rFonts w:hint="default" w:eastAsia="宋体"/>
                      <w:lang w:val="en-US" w:eastAsia="zh-CN"/>
                    </w:rPr>
                  </w:pPr>
                  <w:r>
                    <w:rPr>
                      <w:rFonts w:hint="eastAsia"/>
                      <w:lang w:val="en-US" w:eastAsia="zh-CN"/>
                    </w:rPr>
                    <w:t>结构胶、密封胶、乙醇</w:t>
                  </w:r>
                </w:p>
              </w:tc>
              <w:tc>
                <w:tcPr>
                  <w:tcW w:w="723" w:type="dxa"/>
                  <w:vAlign w:val="center"/>
                </w:tcPr>
                <w:p>
                  <w:pPr>
                    <w:pStyle w:val="20"/>
                    <w:rPr>
                      <w:rFonts w:hint="default" w:eastAsia="宋体"/>
                      <w:lang w:val="en-US" w:eastAsia="zh-CN"/>
                    </w:rPr>
                  </w:pPr>
                  <w:r>
                    <w:rPr>
                      <w:rFonts w:hint="eastAsia"/>
                      <w:lang w:val="en-US" w:eastAsia="zh-CN"/>
                    </w:rPr>
                    <w:t>结构胶、密封胶、乙醇</w:t>
                  </w:r>
                </w:p>
              </w:tc>
              <w:tc>
                <w:tcPr>
                  <w:tcW w:w="582" w:type="dxa"/>
                  <w:vAlign w:val="center"/>
                </w:tcPr>
                <w:p>
                  <w:pPr>
                    <w:pStyle w:val="20"/>
                    <w:rPr>
                      <w:rFonts w:hint="eastAsia" w:eastAsia="宋体"/>
                      <w:lang w:eastAsia="zh-CN"/>
                    </w:rPr>
                  </w:pPr>
                  <w:r>
                    <w:rPr>
                      <w:rFonts w:hint="eastAsia"/>
                      <w:lang w:val="en-US" w:eastAsia="zh-CN"/>
                    </w:rPr>
                    <w:t>每天</w:t>
                  </w:r>
                </w:p>
              </w:tc>
              <w:tc>
                <w:tcPr>
                  <w:tcW w:w="595" w:type="dxa"/>
                  <w:vAlign w:val="center"/>
                </w:tcPr>
                <w:p>
                  <w:pPr>
                    <w:pStyle w:val="20"/>
                  </w:pPr>
                  <w:r>
                    <w:rPr>
                      <w:rFonts w:hint="eastAsia"/>
                    </w:rPr>
                    <w:t>T/In</w:t>
                  </w:r>
                </w:p>
              </w:tc>
              <w:tc>
                <w:tcPr>
                  <w:tcW w:w="576" w:type="dxa"/>
                  <w:vMerge w:val="restart"/>
                  <w:vAlign w:val="center"/>
                </w:tcPr>
                <w:p>
                  <w:pPr>
                    <w:pStyle w:val="20"/>
                  </w:pPr>
                  <w:r>
                    <w:t>暂存于企业危废仓库中，定期由有资质单位安全处置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Align w:val="center"/>
                </w:tcPr>
                <w:p>
                  <w:pPr>
                    <w:pStyle w:val="20"/>
                  </w:pPr>
                  <w:r>
                    <w:rPr>
                      <w:rFonts w:hint="eastAsia"/>
                    </w:rPr>
                    <w:t>2</w:t>
                  </w:r>
                </w:p>
              </w:tc>
              <w:tc>
                <w:tcPr>
                  <w:tcW w:w="802" w:type="dxa"/>
                  <w:vAlign w:val="center"/>
                </w:tcPr>
                <w:p>
                  <w:pPr>
                    <w:pStyle w:val="20"/>
                  </w:pPr>
                  <w:r>
                    <w:rPr>
                      <w:rFonts w:hint="eastAsia"/>
                      <w:lang w:val="en-US" w:eastAsia="zh-CN"/>
                    </w:rPr>
                    <w:t>废胶</w:t>
                  </w:r>
                </w:p>
              </w:tc>
              <w:tc>
                <w:tcPr>
                  <w:tcW w:w="792" w:type="dxa"/>
                  <w:vAlign w:val="center"/>
                </w:tcPr>
                <w:p>
                  <w:pPr>
                    <w:pStyle w:val="20"/>
                    <w:rPr>
                      <w:rFonts w:hint="default"/>
                      <w:lang w:val="en-US"/>
                    </w:rPr>
                  </w:pPr>
                  <w:r>
                    <w:t>HW</w:t>
                  </w:r>
                  <w:r>
                    <w:rPr>
                      <w:rFonts w:hint="eastAsia"/>
                      <w:lang w:val="en-US" w:eastAsia="zh-CN"/>
                    </w:rPr>
                    <w:t>13</w:t>
                  </w:r>
                </w:p>
              </w:tc>
              <w:tc>
                <w:tcPr>
                  <w:tcW w:w="877" w:type="dxa"/>
                  <w:vAlign w:val="center"/>
                </w:tcPr>
                <w:p>
                  <w:pPr>
                    <w:pStyle w:val="20"/>
                    <w:rPr>
                      <w:rFonts w:hint="default" w:eastAsia="宋体"/>
                      <w:lang w:val="en-US" w:eastAsia="zh-CN"/>
                    </w:rPr>
                  </w:pPr>
                  <w:r>
                    <w:t>900-</w:t>
                  </w:r>
                  <w:r>
                    <w:rPr>
                      <w:rFonts w:hint="eastAsia"/>
                      <w:lang w:val="en-US" w:eastAsia="zh-CN"/>
                    </w:rPr>
                    <w:t>014</w:t>
                  </w:r>
                  <w:r>
                    <w:t>-</w:t>
                  </w:r>
                  <w:r>
                    <w:rPr>
                      <w:rFonts w:hint="eastAsia"/>
                      <w:lang w:val="en-US" w:eastAsia="zh-CN"/>
                    </w:rPr>
                    <w:t>2</w:t>
                  </w:r>
                </w:p>
              </w:tc>
              <w:tc>
                <w:tcPr>
                  <w:tcW w:w="669" w:type="dxa"/>
                  <w:vAlign w:val="center"/>
                </w:tcPr>
                <w:p>
                  <w:pPr>
                    <w:pStyle w:val="20"/>
                    <w:rPr>
                      <w:rFonts w:hint="eastAsia" w:eastAsia="宋体"/>
                      <w:lang w:eastAsia="zh-CN"/>
                    </w:rPr>
                  </w:pPr>
                  <w:r>
                    <w:rPr>
                      <w:rFonts w:hint="eastAsia"/>
                      <w:lang w:val="en-US" w:eastAsia="zh-CN"/>
                    </w:rPr>
                    <w:t>3</w:t>
                  </w:r>
                </w:p>
              </w:tc>
              <w:tc>
                <w:tcPr>
                  <w:tcW w:w="761" w:type="dxa"/>
                  <w:vAlign w:val="center"/>
                </w:tcPr>
                <w:p>
                  <w:pPr>
                    <w:pStyle w:val="20"/>
                    <w:rPr>
                      <w:rFonts w:hint="eastAsia" w:eastAsia="宋体"/>
                      <w:lang w:eastAsia="zh-CN"/>
                    </w:rPr>
                  </w:pPr>
                  <w:r>
                    <w:rPr>
                      <w:rFonts w:hint="eastAsia"/>
                      <w:lang w:val="en-US" w:eastAsia="zh-CN"/>
                    </w:rPr>
                    <w:t>涂胶</w:t>
                  </w:r>
                </w:p>
              </w:tc>
              <w:tc>
                <w:tcPr>
                  <w:tcW w:w="454" w:type="dxa"/>
                  <w:vAlign w:val="center"/>
                </w:tcPr>
                <w:p>
                  <w:pPr>
                    <w:pStyle w:val="20"/>
                  </w:pPr>
                  <w:r>
                    <w:rPr>
                      <w:rFonts w:hint="eastAsia"/>
                    </w:rPr>
                    <w:t>固态</w:t>
                  </w:r>
                </w:p>
              </w:tc>
              <w:tc>
                <w:tcPr>
                  <w:tcW w:w="770" w:type="dxa"/>
                  <w:vAlign w:val="center"/>
                </w:tcPr>
                <w:p>
                  <w:pPr>
                    <w:pStyle w:val="20"/>
                    <w:rPr>
                      <w:rFonts w:hint="eastAsia" w:eastAsia="宋体"/>
                      <w:lang w:eastAsia="zh-CN"/>
                    </w:rPr>
                  </w:pPr>
                  <w:r>
                    <w:rPr>
                      <w:rFonts w:hint="eastAsia"/>
                      <w:lang w:val="en-US" w:eastAsia="zh-CN"/>
                    </w:rPr>
                    <w:t>结构胶</w:t>
                  </w:r>
                </w:p>
              </w:tc>
              <w:tc>
                <w:tcPr>
                  <w:tcW w:w="723" w:type="dxa"/>
                  <w:vAlign w:val="center"/>
                </w:tcPr>
                <w:p>
                  <w:pPr>
                    <w:pStyle w:val="20"/>
                    <w:rPr>
                      <w:rFonts w:hint="eastAsia" w:eastAsia="宋体"/>
                      <w:lang w:eastAsia="zh-CN"/>
                    </w:rPr>
                  </w:pPr>
                  <w:r>
                    <w:rPr>
                      <w:rFonts w:hint="eastAsia"/>
                      <w:lang w:val="en-US" w:eastAsia="zh-CN"/>
                    </w:rPr>
                    <w:t>结构胶</w:t>
                  </w:r>
                </w:p>
              </w:tc>
              <w:tc>
                <w:tcPr>
                  <w:tcW w:w="582" w:type="dxa"/>
                  <w:vAlign w:val="center"/>
                </w:tcPr>
                <w:p>
                  <w:pPr>
                    <w:pStyle w:val="20"/>
                    <w:rPr>
                      <w:rFonts w:hint="eastAsia" w:eastAsia="宋体"/>
                      <w:lang w:eastAsia="zh-CN"/>
                    </w:rPr>
                  </w:pPr>
                  <w:r>
                    <w:rPr>
                      <w:rFonts w:hint="eastAsia"/>
                      <w:lang w:val="en-US" w:eastAsia="zh-CN"/>
                    </w:rPr>
                    <w:t>每天</w:t>
                  </w:r>
                </w:p>
              </w:tc>
              <w:tc>
                <w:tcPr>
                  <w:tcW w:w="595" w:type="dxa"/>
                  <w:vAlign w:val="center"/>
                </w:tcPr>
                <w:p>
                  <w:pPr>
                    <w:pStyle w:val="20"/>
                    <w:rPr>
                      <w:rFonts w:hint="eastAsia" w:eastAsia="宋体"/>
                      <w:lang w:eastAsia="zh-CN"/>
                    </w:rPr>
                  </w:pPr>
                  <w:r>
                    <w:rPr>
                      <w:rFonts w:hint="eastAsia"/>
                      <w:lang w:val="en-US" w:eastAsia="zh-CN"/>
                    </w:rPr>
                    <w:t>T</w:t>
                  </w:r>
                </w:p>
              </w:tc>
              <w:tc>
                <w:tcPr>
                  <w:tcW w:w="576" w:type="dxa"/>
                  <w:vMerge w:val="continue"/>
                  <w:vAlign w:val="center"/>
                </w:tcPr>
                <w:p>
                  <w:pPr>
                    <w:pStyle w:val="2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Align w:val="center"/>
                </w:tcPr>
                <w:p>
                  <w:pPr>
                    <w:pStyle w:val="20"/>
                  </w:pPr>
                  <w:r>
                    <w:rPr>
                      <w:rFonts w:hint="eastAsia"/>
                    </w:rPr>
                    <w:t>3</w:t>
                  </w:r>
                </w:p>
              </w:tc>
              <w:tc>
                <w:tcPr>
                  <w:tcW w:w="802" w:type="dxa"/>
                  <w:vAlign w:val="center"/>
                </w:tcPr>
                <w:p>
                  <w:pPr>
                    <w:pStyle w:val="20"/>
                  </w:pPr>
                  <w:r>
                    <w:rPr>
                      <w:rFonts w:hint="eastAsia"/>
                      <w:lang w:val="en-US" w:eastAsia="zh-CN"/>
                    </w:rPr>
                    <w:t>废电路板</w:t>
                  </w:r>
                </w:p>
              </w:tc>
              <w:tc>
                <w:tcPr>
                  <w:tcW w:w="792" w:type="dxa"/>
                  <w:vAlign w:val="center"/>
                </w:tcPr>
                <w:p>
                  <w:pPr>
                    <w:pStyle w:val="20"/>
                  </w:pPr>
                  <w:r>
                    <w:rPr>
                      <w:rFonts w:hint="eastAsia"/>
                    </w:rPr>
                    <w:t>HW49</w:t>
                  </w:r>
                </w:p>
              </w:tc>
              <w:tc>
                <w:tcPr>
                  <w:tcW w:w="877" w:type="dxa"/>
                  <w:vAlign w:val="center"/>
                </w:tcPr>
                <w:p>
                  <w:pPr>
                    <w:pStyle w:val="20"/>
                  </w:pPr>
                  <w:r>
                    <w:t>900-0</w:t>
                  </w:r>
                  <w:r>
                    <w:rPr>
                      <w:rFonts w:hint="eastAsia"/>
                      <w:lang w:val="en-US" w:eastAsia="zh-CN"/>
                    </w:rPr>
                    <w:t>45</w:t>
                  </w:r>
                  <w:r>
                    <w:t>-</w:t>
                  </w:r>
                  <w:r>
                    <w:rPr>
                      <w:rFonts w:hint="eastAsia"/>
                    </w:rPr>
                    <w:t>4</w:t>
                  </w:r>
                  <w:r>
                    <w:t>9</w:t>
                  </w:r>
                </w:p>
              </w:tc>
              <w:tc>
                <w:tcPr>
                  <w:tcW w:w="669" w:type="dxa"/>
                  <w:vAlign w:val="center"/>
                </w:tcPr>
                <w:p>
                  <w:pPr>
                    <w:pStyle w:val="20"/>
                    <w:rPr>
                      <w:rFonts w:hint="default" w:eastAsia="宋体"/>
                      <w:lang w:val="en-US" w:eastAsia="zh-CN"/>
                    </w:rPr>
                  </w:pPr>
                  <w:r>
                    <w:rPr>
                      <w:rFonts w:hint="eastAsia"/>
                      <w:lang w:val="en-US" w:eastAsia="zh-CN"/>
                    </w:rPr>
                    <w:t>1</w:t>
                  </w:r>
                </w:p>
              </w:tc>
              <w:tc>
                <w:tcPr>
                  <w:tcW w:w="761" w:type="dxa"/>
                  <w:vAlign w:val="center"/>
                </w:tcPr>
                <w:p>
                  <w:pPr>
                    <w:pStyle w:val="20"/>
                    <w:rPr>
                      <w:rFonts w:hint="eastAsia" w:eastAsia="宋体"/>
                      <w:lang w:eastAsia="zh-CN"/>
                    </w:rPr>
                  </w:pPr>
                  <w:r>
                    <w:rPr>
                      <w:rFonts w:hint="eastAsia"/>
                      <w:lang w:val="en-US" w:eastAsia="zh-CN"/>
                    </w:rPr>
                    <w:t>电芯模组</w:t>
                  </w:r>
                </w:p>
              </w:tc>
              <w:tc>
                <w:tcPr>
                  <w:tcW w:w="454" w:type="dxa"/>
                  <w:vAlign w:val="center"/>
                </w:tcPr>
                <w:p>
                  <w:pPr>
                    <w:pStyle w:val="20"/>
                  </w:pPr>
                  <w:r>
                    <w:rPr>
                      <w:rFonts w:hint="eastAsia"/>
                    </w:rPr>
                    <w:t>固态</w:t>
                  </w:r>
                </w:p>
              </w:tc>
              <w:tc>
                <w:tcPr>
                  <w:tcW w:w="770" w:type="dxa"/>
                  <w:vAlign w:val="center"/>
                </w:tcPr>
                <w:p>
                  <w:pPr>
                    <w:pStyle w:val="20"/>
                    <w:rPr>
                      <w:rFonts w:hint="default" w:eastAsia="宋体"/>
                      <w:lang w:val="en-US" w:eastAsia="zh-CN"/>
                    </w:rPr>
                  </w:pPr>
                  <w:r>
                    <w:rPr>
                      <w:rFonts w:hint="eastAsia"/>
                      <w:lang w:val="en-US" w:eastAsia="zh-CN"/>
                    </w:rPr>
                    <w:t>塑料、重金属</w:t>
                  </w:r>
                </w:p>
              </w:tc>
              <w:tc>
                <w:tcPr>
                  <w:tcW w:w="723" w:type="dxa"/>
                  <w:vAlign w:val="center"/>
                </w:tcPr>
                <w:p>
                  <w:pPr>
                    <w:pStyle w:val="20"/>
                    <w:rPr>
                      <w:rFonts w:hint="eastAsia" w:eastAsia="宋体"/>
                      <w:lang w:eastAsia="zh-CN"/>
                    </w:rPr>
                  </w:pPr>
                  <w:r>
                    <w:rPr>
                      <w:rFonts w:hint="eastAsia"/>
                      <w:lang w:val="en-US" w:eastAsia="zh-CN"/>
                    </w:rPr>
                    <w:t>重金属</w:t>
                  </w:r>
                </w:p>
              </w:tc>
              <w:tc>
                <w:tcPr>
                  <w:tcW w:w="582" w:type="dxa"/>
                  <w:vAlign w:val="center"/>
                </w:tcPr>
                <w:p>
                  <w:pPr>
                    <w:pStyle w:val="20"/>
                    <w:rPr>
                      <w:rFonts w:hint="eastAsia" w:eastAsia="宋体"/>
                      <w:lang w:eastAsia="zh-CN"/>
                    </w:rPr>
                  </w:pPr>
                  <w:r>
                    <w:rPr>
                      <w:rFonts w:hint="eastAsia"/>
                      <w:lang w:val="en-US" w:eastAsia="zh-CN"/>
                    </w:rPr>
                    <w:t>每天</w:t>
                  </w:r>
                </w:p>
              </w:tc>
              <w:tc>
                <w:tcPr>
                  <w:tcW w:w="595" w:type="dxa"/>
                  <w:vAlign w:val="center"/>
                </w:tcPr>
                <w:p>
                  <w:pPr>
                    <w:pStyle w:val="20"/>
                  </w:pPr>
                  <w:r>
                    <w:rPr>
                      <w:rFonts w:hint="eastAsia"/>
                    </w:rPr>
                    <w:t>T</w:t>
                  </w:r>
                </w:p>
              </w:tc>
              <w:tc>
                <w:tcPr>
                  <w:tcW w:w="576" w:type="dxa"/>
                  <w:vMerge w:val="continue"/>
                  <w:vAlign w:val="center"/>
                </w:tcPr>
                <w:p>
                  <w:pPr>
                    <w:pStyle w:val="20"/>
                  </w:pPr>
                </w:p>
              </w:tc>
            </w:tr>
          </w:tbl>
          <w:p>
            <w:pPr>
              <w:adjustRightInd w:val="0"/>
              <w:spacing w:before="60" w:line="460" w:lineRule="exact"/>
              <w:ind w:firstLine="422"/>
              <w:rPr>
                <w:b/>
                <w:kern w:val="28"/>
              </w:rPr>
            </w:pPr>
            <w:r>
              <w:rPr>
                <w:rFonts w:hint="eastAsia"/>
                <w:b/>
                <w:kern w:val="28"/>
              </w:rPr>
              <w:t>4、固体废物分析情况汇总</w:t>
            </w:r>
          </w:p>
          <w:p>
            <w:pPr>
              <w:spacing w:before="60"/>
              <w:ind w:firstLine="420"/>
              <w:rPr>
                <w:b/>
                <w:sz w:val="18"/>
                <w:szCs w:val="18"/>
              </w:rPr>
            </w:pPr>
            <w:r>
              <w:rPr>
                <w:rFonts w:hint="eastAsia"/>
              </w:rPr>
              <w:t>本项目各类固体废物的名称、类别、属性和数量等情况见表</w:t>
            </w:r>
            <w:r>
              <w:t>4.5</w:t>
            </w:r>
            <w:r>
              <w:rPr>
                <w:rFonts w:hint="eastAsia"/>
              </w:rPr>
              <w:t>-</w:t>
            </w:r>
            <w:r>
              <w:t>4</w:t>
            </w:r>
            <w:r>
              <w:rPr>
                <w:rFonts w:hint="eastAsia"/>
              </w:rPr>
              <w:t>。</w:t>
            </w:r>
          </w:p>
          <w:p>
            <w:pPr>
              <w:spacing w:line="240" w:lineRule="auto"/>
              <w:ind w:firstLine="0" w:firstLineChars="0"/>
              <w:jc w:val="center"/>
              <w:rPr>
                <w:b/>
                <w:bCs/>
              </w:rPr>
            </w:pPr>
            <w:r>
              <w:rPr>
                <w:rFonts w:hint="eastAsia"/>
                <w:b/>
                <w:bCs/>
              </w:rPr>
              <w:t>表</w:t>
            </w:r>
            <w:r>
              <w:rPr>
                <w:b/>
                <w:bCs/>
              </w:rPr>
              <w:t>4.5-4</w:t>
            </w:r>
            <w:r>
              <w:rPr>
                <w:rFonts w:hint="eastAsia"/>
                <w:b/>
                <w:bCs/>
              </w:rPr>
              <w:t xml:space="preserve">  本项目固体废物产生及处置情况</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160"/>
              <w:gridCol w:w="990"/>
              <w:gridCol w:w="650"/>
              <w:gridCol w:w="1090"/>
              <w:gridCol w:w="1077"/>
              <w:gridCol w:w="800"/>
              <w:gridCol w:w="1007"/>
              <w:gridCol w:w="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62" w:type="dxa"/>
                  <w:vMerge w:val="restart"/>
                  <w:vAlign w:val="center"/>
                </w:tcPr>
                <w:p>
                  <w:pPr>
                    <w:pStyle w:val="20"/>
                  </w:pPr>
                  <w:r>
                    <w:t>序号</w:t>
                  </w:r>
                </w:p>
              </w:tc>
              <w:tc>
                <w:tcPr>
                  <w:tcW w:w="1160" w:type="dxa"/>
                  <w:vMerge w:val="restart"/>
                  <w:vAlign w:val="center"/>
                </w:tcPr>
                <w:p>
                  <w:pPr>
                    <w:pStyle w:val="20"/>
                  </w:pPr>
                  <w:r>
                    <w:t>固体废物名称</w:t>
                  </w:r>
                </w:p>
              </w:tc>
              <w:tc>
                <w:tcPr>
                  <w:tcW w:w="990" w:type="dxa"/>
                  <w:vMerge w:val="restart"/>
                  <w:vAlign w:val="center"/>
                </w:tcPr>
                <w:p>
                  <w:pPr>
                    <w:pStyle w:val="20"/>
                  </w:pPr>
                  <w:r>
                    <w:t>生产工序</w:t>
                  </w:r>
                </w:p>
              </w:tc>
              <w:tc>
                <w:tcPr>
                  <w:tcW w:w="650" w:type="dxa"/>
                  <w:vMerge w:val="restart"/>
                  <w:vAlign w:val="center"/>
                </w:tcPr>
                <w:p>
                  <w:pPr>
                    <w:pStyle w:val="20"/>
                  </w:pPr>
                  <w:r>
                    <w:t>属性</w:t>
                  </w:r>
                </w:p>
              </w:tc>
              <w:tc>
                <w:tcPr>
                  <w:tcW w:w="2167" w:type="dxa"/>
                  <w:gridSpan w:val="2"/>
                  <w:vAlign w:val="center"/>
                </w:tcPr>
                <w:p>
                  <w:pPr>
                    <w:pStyle w:val="20"/>
                  </w:pPr>
                  <w:r>
                    <w:rPr>
                      <w:rFonts w:hint="eastAsia"/>
                    </w:rPr>
                    <w:t>固废代码</w:t>
                  </w:r>
                </w:p>
              </w:tc>
              <w:tc>
                <w:tcPr>
                  <w:tcW w:w="800" w:type="dxa"/>
                  <w:vMerge w:val="restart"/>
                  <w:vAlign w:val="center"/>
                </w:tcPr>
                <w:p>
                  <w:pPr>
                    <w:pStyle w:val="20"/>
                  </w:pPr>
                  <w:r>
                    <w:t>预测产生量（t/a）</w:t>
                  </w:r>
                </w:p>
              </w:tc>
              <w:tc>
                <w:tcPr>
                  <w:tcW w:w="1007" w:type="dxa"/>
                  <w:vMerge w:val="restart"/>
                  <w:vAlign w:val="center"/>
                </w:tcPr>
                <w:p>
                  <w:pPr>
                    <w:pStyle w:val="20"/>
                  </w:pPr>
                  <w:r>
                    <w:t>利用处</w:t>
                  </w:r>
                </w:p>
                <w:p>
                  <w:pPr>
                    <w:pStyle w:val="20"/>
                  </w:pPr>
                  <w:r>
                    <w:t>置方式</w:t>
                  </w:r>
                </w:p>
              </w:tc>
              <w:tc>
                <w:tcPr>
                  <w:tcW w:w="654" w:type="dxa"/>
                  <w:vMerge w:val="restart"/>
                  <w:vAlign w:val="center"/>
                </w:tcPr>
                <w:p>
                  <w:pPr>
                    <w:pStyle w:val="20"/>
                  </w:pPr>
                  <w:r>
                    <w:t>是否符合环保要求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62" w:type="dxa"/>
                  <w:vMerge w:val="continue"/>
                  <w:vAlign w:val="center"/>
                </w:tcPr>
                <w:p>
                  <w:pPr>
                    <w:pStyle w:val="20"/>
                  </w:pPr>
                </w:p>
              </w:tc>
              <w:tc>
                <w:tcPr>
                  <w:tcW w:w="1160" w:type="dxa"/>
                  <w:vMerge w:val="continue"/>
                  <w:vAlign w:val="center"/>
                </w:tcPr>
                <w:p>
                  <w:pPr>
                    <w:pStyle w:val="20"/>
                  </w:pPr>
                </w:p>
              </w:tc>
              <w:tc>
                <w:tcPr>
                  <w:tcW w:w="990" w:type="dxa"/>
                  <w:vMerge w:val="continue"/>
                  <w:vAlign w:val="center"/>
                </w:tcPr>
                <w:p>
                  <w:pPr>
                    <w:pStyle w:val="20"/>
                  </w:pPr>
                </w:p>
              </w:tc>
              <w:tc>
                <w:tcPr>
                  <w:tcW w:w="650" w:type="dxa"/>
                  <w:vMerge w:val="continue"/>
                  <w:vAlign w:val="center"/>
                </w:tcPr>
                <w:p>
                  <w:pPr>
                    <w:pStyle w:val="20"/>
                  </w:pPr>
                </w:p>
              </w:tc>
              <w:tc>
                <w:tcPr>
                  <w:tcW w:w="1090" w:type="dxa"/>
                  <w:vAlign w:val="center"/>
                </w:tcPr>
                <w:p>
                  <w:pPr>
                    <w:pStyle w:val="20"/>
                  </w:pPr>
                  <w:r>
                    <w:rPr>
                      <w:rFonts w:hint="eastAsia"/>
                    </w:rPr>
                    <w:t>一般</w:t>
                  </w:r>
                </w:p>
                <w:p>
                  <w:pPr>
                    <w:pStyle w:val="20"/>
                  </w:pPr>
                  <w:r>
                    <w:rPr>
                      <w:rFonts w:hint="eastAsia"/>
                    </w:rPr>
                    <w:t>固废</w:t>
                  </w:r>
                </w:p>
              </w:tc>
              <w:tc>
                <w:tcPr>
                  <w:tcW w:w="1077" w:type="dxa"/>
                  <w:vAlign w:val="center"/>
                </w:tcPr>
                <w:p>
                  <w:pPr>
                    <w:pStyle w:val="20"/>
                  </w:pPr>
                  <w:r>
                    <w:rPr>
                      <w:rFonts w:hint="eastAsia"/>
                    </w:rPr>
                    <w:t>危险</w:t>
                  </w:r>
                </w:p>
                <w:p>
                  <w:pPr>
                    <w:pStyle w:val="20"/>
                  </w:pPr>
                  <w:r>
                    <w:rPr>
                      <w:rFonts w:hint="eastAsia"/>
                    </w:rPr>
                    <w:t>废物</w:t>
                  </w:r>
                </w:p>
              </w:tc>
              <w:tc>
                <w:tcPr>
                  <w:tcW w:w="800" w:type="dxa"/>
                  <w:vMerge w:val="continue"/>
                  <w:vAlign w:val="center"/>
                </w:tcPr>
                <w:p>
                  <w:pPr>
                    <w:pStyle w:val="20"/>
                  </w:pPr>
                </w:p>
              </w:tc>
              <w:tc>
                <w:tcPr>
                  <w:tcW w:w="1007" w:type="dxa"/>
                  <w:vMerge w:val="continue"/>
                  <w:vAlign w:val="center"/>
                </w:tcPr>
                <w:p>
                  <w:pPr>
                    <w:pStyle w:val="20"/>
                  </w:pPr>
                </w:p>
              </w:tc>
              <w:tc>
                <w:tcPr>
                  <w:tcW w:w="654" w:type="dxa"/>
                  <w:vMerge w:val="continue"/>
                  <w:vAlign w:val="center"/>
                </w:tcPr>
                <w:p>
                  <w:pPr>
                    <w:pStyle w:val="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pPr>
                  <w:r>
                    <w:t>1</w:t>
                  </w:r>
                </w:p>
              </w:tc>
              <w:tc>
                <w:tcPr>
                  <w:tcW w:w="1160" w:type="dxa"/>
                  <w:vAlign w:val="center"/>
                </w:tcPr>
                <w:p>
                  <w:pPr>
                    <w:pStyle w:val="20"/>
                    <w:rPr>
                      <w:rFonts w:hint="default" w:eastAsia="宋体"/>
                      <w:lang w:val="en-US" w:eastAsia="zh-CN"/>
                    </w:rPr>
                  </w:pPr>
                  <w:r>
                    <w:rPr>
                      <w:rFonts w:hint="eastAsia"/>
                      <w:lang w:val="en-US" w:eastAsia="zh-CN"/>
                    </w:rPr>
                    <w:t>不合格电芯</w:t>
                  </w:r>
                </w:p>
              </w:tc>
              <w:tc>
                <w:tcPr>
                  <w:tcW w:w="990" w:type="dxa"/>
                  <w:vAlign w:val="center"/>
                </w:tcPr>
                <w:p>
                  <w:pPr>
                    <w:pStyle w:val="20"/>
                  </w:pPr>
                  <w:r>
                    <w:rPr>
                      <w:rFonts w:hint="eastAsia"/>
                      <w:lang w:val="en-US" w:eastAsia="zh-CN"/>
                    </w:rPr>
                    <w:t>装配前检验测试</w:t>
                  </w:r>
                </w:p>
              </w:tc>
              <w:tc>
                <w:tcPr>
                  <w:tcW w:w="650" w:type="dxa"/>
                  <w:vAlign w:val="center"/>
                </w:tcPr>
                <w:p>
                  <w:pPr>
                    <w:pStyle w:val="20"/>
                  </w:pPr>
                  <w:r>
                    <w:rPr>
                      <w:rFonts w:hint="eastAsia"/>
                    </w:rPr>
                    <w:t>一般</w:t>
                  </w:r>
                </w:p>
                <w:p>
                  <w:pPr>
                    <w:pStyle w:val="20"/>
                  </w:pPr>
                  <w:r>
                    <w:rPr>
                      <w:rFonts w:hint="eastAsia"/>
                    </w:rPr>
                    <w:t>固废</w:t>
                  </w:r>
                </w:p>
              </w:tc>
              <w:tc>
                <w:tcPr>
                  <w:tcW w:w="1090" w:type="dxa"/>
                  <w:vAlign w:val="center"/>
                </w:tcPr>
                <w:p>
                  <w:pPr>
                    <w:pStyle w:val="20"/>
                  </w:pPr>
                  <w:r>
                    <w:rPr>
                      <w:rFonts w:hint="eastAsia"/>
                    </w:rPr>
                    <w:t>SW17：900-012-17</w:t>
                  </w:r>
                </w:p>
              </w:tc>
              <w:tc>
                <w:tcPr>
                  <w:tcW w:w="1077" w:type="dxa"/>
                  <w:vAlign w:val="center"/>
                </w:tcPr>
                <w:p>
                  <w:pPr>
                    <w:pStyle w:val="20"/>
                  </w:pPr>
                  <w:r>
                    <w:rPr>
                      <w:rFonts w:hint="eastAsia"/>
                    </w:rPr>
                    <w:t>/</w:t>
                  </w:r>
                </w:p>
              </w:tc>
              <w:tc>
                <w:tcPr>
                  <w:tcW w:w="800" w:type="dxa"/>
                  <w:vAlign w:val="center"/>
                </w:tcPr>
                <w:p>
                  <w:pPr>
                    <w:pStyle w:val="20"/>
                    <w:rPr>
                      <w:rFonts w:hint="eastAsia" w:eastAsia="宋体"/>
                      <w:lang w:eastAsia="zh-CN"/>
                    </w:rPr>
                  </w:pPr>
                  <w:r>
                    <w:rPr>
                      <w:rFonts w:hint="eastAsia"/>
                      <w:lang w:val="en-US" w:eastAsia="zh-CN"/>
                    </w:rPr>
                    <w:t>2</w:t>
                  </w:r>
                </w:p>
              </w:tc>
              <w:tc>
                <w:tcPr>
                  <w:tcW w:w="1007" w:type="dxa"/>
                  <w:vMerge w:val="restart"/>
                  <w:vAlign w:val="center"/>
                </w:tcPr>
                <w:p>
                  <w:pPr>
                    <w:pStyle w:val="20"/>
                  </w:pPr>
                  <w:r>
                    <w:rPr>
                      <w:rFonts w:hint="eastAsia"/>
                    </w:rPr>
                    <w:t>外卖综合利用</w:t>
                  </w:r>
                </w:p>
              </w:tc>
              <w:tc>
                <w:tcPr>
                  <w:tcW w:w="654" w:type="dxa"/>
                  <w:vAlign w:val="center"/>
                </w:tcPr>
                <w:p>
                  <w:pPr>
                    <w:pStyle w:val="20"/>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rPr>
                      <w:rFonts w:hint="eastAsia" w:eastAsia="宋体"/>
                      <w:lang w:val="en-US" w:eastAsia="zh-CN"/>
                    </w:rPr>
                  </w:pPr>
                  <w:r>
                    <w:rPr>
                      <w:rFonts w:hint="eastAsia"/>
                      <w:lang w:val="en-US" w:eastAsia="zh-CN"/>
                    </w:rPr>
                    <w:t>2</w:t>
                  </w:r>
                </w:p>
              </w:tc>
              <w:tc>
                <w:tcPr>
                  <w:tcW w:w="1160" w:type="dxa"/>
                  <w:vAlign w:val="center"/>
                </w:tcPr>
                <w:p>
                  <w:pPr>
                    <w:pStyle w:val="20"/>
                    <w:rPr>
                      <w:rFonts w:hint="default"/>
                      <w:lang w:val="en-US" w:eastAsia="zh-CN"/>
                    </w:rPr>
                  </w:pPr>
                  <w:r>
                    <w:rPr>
                      <w:rFonts w:hint="default"/>
                      <w:lang w:val="en-US" w:eastAsia="zh-CN"/>
                    </w:rPr>
                    <w:t>废胶纸</w:t>
                  </w:r>
                </w:p>
              </w:tc>
              <w:tc>
                <w:tcPr>
                  <w:tcW w:w="990" w:type="dxa"/>
                  <w:vAlign w:val="center"/>
                </w:tcPr>
                <w:p>
                  <w:pPr>
                    <w:pStyle w:val="20"/>
                    <w:rPr>
                      <w:rFonts w:hint="default"/>
                      <w:lang w:val="en-US" w:eastAsia="zh-CN"/>
                    </w:rPr>
                  </w:pPr>
                  <w:r>
                    <w:rPr>
                      <w:rFonts w:hint="default"/>
                      <w:lang w:val="en-US" w:eastAsia="zh-CN"/>
                    </w:rPr>
                    <w:t>贴双面胶</w:t>
                  </w:r>
                </w:p>
              </w:tc>
              <w:tc>
                <w:tcPr>
                  <w:tcW w:w="650" w:type="dxa"/>
                  <w:vAlign w:val="center"/>
                </w:tcPr>
                <w:p>
                  <w:pPr>
                    <w:pStyle w:val="20"/>
                  </w:pPr>
                  <w:r>
                    <w:rPr>
                      <w:rFonts w:hint="eastAsia"/>
                    </w:rPr>
                    <w:t>一般</w:t>
                  </w:r>
                </w:p>
                <w:p>
                  <w:pPr>
                    <w:pStyle w:val="20"/>
                    <w:rPr>
                      <w:rFonts w:hint="default"/>
                      <w:lang w:val="en-US"/>
                    </w:rPr>
                  </w:pPr>
                  <w:r>
                    <w:rPr>
                      <w:rFonts w:hint="eastAsia"/>
                    </w:rPr>
                    <w:t>固废</w:t>
                  </w:r>
                </w:p>
              </w:tc>
              <w:tc>
                <w:tcPr>
                  <w:tcW w:w="1090" w:type="dxa"/>
                  <w:vAlign w:val="center"/>
                </w:tcPr>
                <w:p>
                  <w:pPr>
                    <w:pStyle w:val="20"/>
                    <w:rPr>
                      <w:rFonts w:hint="default"/>
                      <w:lang w:val="en-US"/>
                    </w:rPr>
                  </w:pPr>
                  <w:r>
                    <w:rPr>
                      <w:rFonts w:hint="default"/>
                      <w:lang w:val="en-US"/>
                    </w:rPr>
                    <w:t>SW17：900-005-17</w:t>
                  </w:r>
                </w:p>
              </w:tc>
              <w:tc>
                <w:tcPr>
                  <w:tcW w:w="1077" w:type="dxa"/>
                  <w:vAlign w:val="center"/>
                </w:tcPr>
                <w:p>
                  <w:pPr>
                    <w:pStyle w:val="20"/>
                    <w:rPr>
                      <w:rFonts w:hint="default"/>
                      <w:lang w:val="en-US"/>
                    </w:rPr>
                  </w:pPr>
                  <w:r>
                    <w:rPr>
                      <w:rFonts w:hint="eastAsia"/>
                    </w:rPr>
                    <w:t>/</w:t>
                  </w:r>
                </w:p>
              </w:tc>
              <w:tc>
                <w:tcPr>
                  <w:tcW w:w="800" w:type="dxa"/>
                  <w:vAlign w:val="center"/>
                </w:tcPr>
                <w:p>
                  <w:pPr>
                    <w:pStyle w:val="20"/>
                    <w:rPr>
                      <w:rFonts w:hint="default"/>
                      <w:lang w:val="en-US" w:eastAsia="zh-CN"/>
                    </w:rPr>
                  </w:pPr>
                  <w:r>
                    <w:rPr>
                      <w:rFonts w:hint="eastAsia"/>
                      <w:lang w:val="en-US" w:eastAsia="zh-CN"/>
                    </w:rPr>
                    <w:t>2</w:t>
                  </w:r>
                </w:p>
              </w:tc>
              <w:tc>
                <w:tcPr>
                  <w:tcW w:w="1007" w:type="dxa"/>
                  <w:vMerge w:val="continue"/>
                  <w:vAlign w:val="center"/>
                </w:tcPr>
                <w:p>
                  <w:pPr>
                    <w:pStyle w:val="20"/>
                    <w:rPr>
                      <w:rFonts w:hint="default"/>
                      <w:lang w:val="en-US"/>
                    </w:rPr>
                  </w:pPr>
                </w:p>
              </w:tc>
              <w:tc>
                <w:tcPr>
                  <w:tcW w:w="654" w:type="dxa"/>
                  <w:vAlign w:val="center"/>
                </w:tcPr>
                <w:p>
                  <w:pPr>
                    <w:pStyle w:val="20"/>
                    <w:rPr>
                      <w:rFonts w:hint="default"/>
                      <w:lang w:val="en-US"/>
                    </w:rP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3</w:t>
                  </w:r>
                </w:p>
              </w:tc>
              <w:tc>
                <w:tcPr>
                  <w:tcW w:w="1160" w:type="dxa"/>
                  <w:vAlign w:val="center"/>
                </w:tcPr>
                <w:p>
                  <w:pPr>
                    <w:pStyle w:val="20"/>
                    <w:rPr>
                      <w:rFonts w:hint="default"/>
                      <w:lang w:val="en-US" w:eastAsia="zh-CN"/>
                    </w:rPr>
                  </w:pPr>
                  <w:r>
                    <w:rPr>
                      <w:rFonts w:hint="default"/>
                      <w:lang w:val="en-US" w:eastAsia="zh-CN"/>
                    </w:rPr>
                    <w:t>废五金件、废线束、废包装材料</w:t>
                  </w:r>
                </w:p>
              </w:tc>
              <w:tc>
                <w:tcPr>
                  <w:tcW w:w="990" w:type="dxa"/>
                  <w:vAlign w:val="center"/>
                </w:tcPr>
                <w:p>
                  <w:pPr>
                    <w:pStyle w:val="20"/>
                    <w:rPr>
                      <w:rFonts w:hint="default"/>
                      <w:lang w:val="en-US" w:eastAsia="zh-CN"/>
                    </w:rPr>
                  </w:pPr>
                  <w:r>
                    <w:rPr>
                      <w:rFonts w:hint="default"/>
                      <w:lang w:val="en-US" w:eastAsia="zh-CN"/>
                    </w:rPr>
                    <w:t>模组装配、系统组装</w:t>
                  </w:r>
                </w:p>
              </w:tc>
              <w:tc>
                <w:tcPr>
                  <w:tcW w:w="650" w:type="dxa"/>
                  <w:vAlign w:val="center"/>
                </w:tcPr>
                <w:p>
                  <w:pPr>
                    <w:pStyle w:val="20"/>
                  </w:pPr>
                  <w:r>
                    <w:rPr>
                      <w:rFonts w:hint="eastAsia"/>
                    </w:rPr>
                    <w:t>一般</w:t>
                  </w:r>
                </w:p>
                <w:p>
                  <w:pPr>
                    <w:pStyle w:val="20"/>
                    <w:rPr>
                      <w:rFonts w:hint="eastAsia"/>
                    </w:rPr>
                  </w:pPr>
                  <w:r>
                    <w:rPr>
                      <w:rFonts w:hint="eastAsia"/>
                    </w:rPr>
                    <w:t>固废</w:t>
                  </w:r>
                </w:p>
              </w:tc>
              <w:tc>
                <w:tcPr>
                  <w:tcW w:w="1090" w:type="dxa"/>
                  <w:vAlign w:val="center"/>
                </w:tcPr>
                <w:p>
                  <w:pPr>
                    <w:pStyle w:val="20"/>
                    <w:rPr>
                      <w:rFonts w:hint="default"/>
                      <w:lang w:val="en-US"/>
                    </w:rPr>
                  </w:pPr>
                  <w:r>
                    <w:rPr>
                      <w:rFonts w:hint="eastAsia"/>
                    </w:rPr>
                    <w:t>SW17：900-012-17</w:t>
                  </w:r>
                </w:p>
              </w:tc>
              <w:tc>
                <w:tcPr>
                  <w:tcW w:w="1077" w:type="dxa"/>
                  <w:vAlign w:val="center"/>
                </w:tcPr>
                <w:p>
                  <w:pPr>
                    <w:pStyle w:val="20"/>
                    <w:rPr>
                      <w:rFonts w:hint="default"/>
                      <w:lang w:val="en-US"/>
                    </w:rPr>
                  </w:pPr>
                  <w:r>
                    <w:rPr>
                      <w:rFonts w:hint="eastAsia"/>
                    </w:rPr>
                    <w:t>/</w:t>
                  </w:r>
                </w:p>
              </w:tc>
              <w:tc>
                <w:tcPr>
                  <w:tcW w:w="800" w:type="dxa"/>
                  <w:vAlign w:val="center"/>
                </w:tcPr>
                <w:p>
                  <w:pPr>
                    <w:pStyle w:val="20"/>
                    <w:rPr>
                      <w:rFonts w:hint="default"/>
                      <w:lang w:val="en-US" w:eastAsia="zh-CN"/>
                    </w:rPr>
                  </w:pPr>
                  <w:r>
                    <w:rPr>
                      <w:rFonts w:hint="eastAsia"/>
                      <w:lang w:val="en-US" w:eastAsia="zh-CN"/>
                    </w:rPr>
                    <w:t>15</w:t>
                  </w:r>
                </w:p>
              </w:tc>
              <w:tc>
                <w:tcPr>
                  <w:tcW w:w="1007" w:type="dxa"/>
                  <w:vMerge w:val="continue"/>
                  <w:vAlign w:val="center"/>
                </w:tcPr>
                <w:p>
                  <w:pPr>
                    <w:pStyle w:val="20"/>
                    <w:rPr>
                      <w:rFonts w:hint="default"/>
                      <w:lang w:val="en-US"/>
                    </w:rPr>
                  </w:pPr>
                </w:p>
              </w:tc>
              <w:tc>
                <w:tcPr>
                  <w:tcW w:w="654" w:type="dxa"/>
                  <w:vAlign w:val="center"/>
                </w:tcPr>
                <w:p>
                  <w:pPr>
                    <w:pStyle w:val="20"/>
                    <w:rPr>
                      <w:rFonts w:hint="default"/>
                      <w:lang w:val="en-US"/>
                    </w:rP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4</w:t>
                  </w:r>
                </w:p>
              </w:tc>
              <w:tc>
                <w:tcPr>
                  <w:tcW w:w="1160" w:type="dxa"/>
                  <w:vAlign w:val="center"/>
                </w:tcPr>
                <w:p>
                  <w:pPr>
                    <w:pStyle w:val="20"/>
                    <w:rPr>
                      <w:rFonts w:hint="eastAsia" w:eastAsia="宋体"/>
                      <w:lang w:eastAsia="zh-CN"/>
                    </w:rPr>
                  </w:pPr>
                  <w:r>
                    <w:rPr>
                      <w:rFonts w:hint="eastAsia"/>
                      <w:lang w:eastAsia="zh-CN"/>
                    </w:rPr>
                    <w:t>沾染化学品的废包装物</w:t>
                  </w:r>
                </w:p>
              </w:tc>
              <w:tc>
                <w:tcPr>
                  <w:tcW w:w="990" w:type="dxa"/>
                  <w:vAlign w:val="center"/>
                </w:tcPr>
                <w:p>
                  <w:pPr>
                    <w:pStyle w:val="20"/>
                    <w:rPr>
                      <w:rFonts w:hint="default" w:eastAsia="宋体"/>
                      <w:lang w:val="en-US" w:eastAsia="zh-CN"/>
                    </w:rPr>
                  </w:pPr>
                  <w:r>
                    <w:rPr>
                      <w:rFonts w:hint="eastAsia"/>
                      <w:lang w:val="en-US" w:eastAsia="zh-CN"/>
                    </w:rPr>
                    <w:t>结构胶、酒精使用</w:t>
                  </w:r>
                </w:p>
              </w:tc>
              <w:tc>
                <w:tcPr>
                  <w:tcW w:w="650" w:type="dxa"/>
                  <w:vAlign w:val="center"/>
                </w:tcPr>
                <w:p>
                  <w:pPr>
                    <w:pStyle w:val="20"/>
                  </w:pPr>
                  <w:r>
                    <w:rPr>
                      <w:rFonts w:hint="eastAsia"/>
                    </w:rPr>
                    <w:t>危险固废</w:t>
                  </w:r>
                </w:p>
              </w:tc>
              <w:tc>
                <w:tcPr>
                  <w:tcW w:w="1090" w:type="dxa"/>
                  <w:vAlign w:val="center"/>
                </w:tcPr>
                <w:p>
                  <w:pPr>
                    <w:pStyle w:val="20"/>
                  </w:pPr>
                  <w:r>
                    <w:rPr>
                      <w:rFonts w:hint="eastAsia"/>
                    </w:rPr>
                    <w:t>/</w:t>
                  </w:r>
                </w:p>
              </w:tc>
              <w:tc>
                <w:tcPr>
                  <w:tcW w:w="1077" w:type="dxa"/>
                  <w:vAlign w:val="center"/>
                </w:tcPr>
                <w:p>
                  <w:pPr>
                    <w:pStyle w:val="20"/>
                  </w:pPr>
                  <w:r>
                    <w:rPr>
                      <w:rFonts w:hint="eastAsia"/>
                    </w:rPr>
                    <w:t>HW49：900-041-49</w:t>
                  </w:r>
                </w:p>
              </w:tc>
              <w:tc>
                <w:tcPr>
                  <w:tcW w:w="800" w:type="dxa"/>
                  <w:vAlign w:val="center"/>
                </w:tcPr>
                <w:p>
                  <w:pPr>
                    <w:pStyle w:val="20"/>
                    <w:rPr>
                      <w:rFonts w:hint="default" w:eastAsia="宋体"/>
                      <w:lang w:val="en-US" w:eastAsia="zh-CN"/>
                    </w:rPr>
                  </w:pPr>
                  <w:r>
                    <w:rPr>
                      <w:rFonts w:hint="eastAsia"/>
                      <w:lang w:val="en-US" w:eastAsia="zh-CN"/>
                    </w:rPr>
                    <w:t>1.464</w:t>
                  </w:r>
                </w:p>
              </w:tc>
              <w:tc>
                <w:tcPr>
                  <w:tcW w:w="1007" w:type="dxa"/>
                  <w:vMerge w:val="restart"/>
                  <w:vAlign w:val="center"/>
                </w:tcPr>
                <w:p>
                  <w:pPr>
                    <w:pStyle w:val="20"/>
                  </w:pPr>
                  <w:r>
                    <w:rPr>
                      <w:rFonts w:hint="eastAsia"/>
                    </w:rPr>
                    <w:t>委托有资质单位处置</w:t>
                  </w:r>
                </w:p>
              </w:tc>
              <w:tc>
                <w:tcPr>
                  <w:tcW w:w="654" w:type="dxa"/>
                  <w:vAlign w:val="center"/>
                </w:tcPr>
                <w:p>
                  <w:pPr>
                    <w:pStyle w:val="20"/>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ind w:firstLine="0" w:firstLineChars="0"/>
                    <w:rPr>
                      <w:rFonts w:hint="eastAsia" w:ascii="Times New Roman" w:hAnsi="Times New Roman" w:eastAsia="宋体" w:cs="Times New Roman"/>
                      <w:color w:val="000000"/>
                      <w:kern w:val="2"/>
                      <w:sz w:val="18"/>
                      <w:szCs w:val="24"/>
                      <w:lang w:val="en-US" w:eastAsia="zh-CN" w:bidi="ar-SA"/>
                    </w:rPr>
                  </w:pPr>
                  <w:r>
                    <w:rPr>
                      <w:rFonts w:hint="eastAsia"/>
                      <w:lang w:val="en-US" w:eastAsia="zh-CN"/>
                    </w:rPr>
                    <w:t>5</w:t>
                  </w:r>
                </w:p>
              </w:tc>
              <w:tc>
                <w:tcPr>
                  <w:tcW w:w="1160" w:type="dxa"/>
                  <w:vAlign w:val="center"/>
                </w:tcPr>
                <w:p>
                  <w:pPr>
                    <w:pStyle w:val="20"/>
                  </w:pPr>
                  <w:r>
                    <w:rPr>
                      <w:rFonts w:hint="eastAsia"/>
                    </w:rPr>
                    <w:t>废胶</w:t>
                  </w:r>
                </w:p>
              </w:tc>
              <w:tc>
                <w:tcPr>
                  <w:tcW w:w="990" w:type="dxa"/>
                  <w:vAlign w:val="center"/>
                </w:tcPr>
                <w:p>
                  <w:pPr>
                    <w:pStyle w:val="20"/>
                  </w:pPr>
                  <w:r>
                    <w:rPr>
                      <w:rFonts w:hint="eastAsia"/>
                      <w:lang w:val="en-US" w:eastAsia="zh-CN"/>
                    </w:rPr>
                    <w:t>结构胶使用</w:t>
                  </w:r>
                </w:p>
              </w:tc>
              <w:tc>
                <w:tcPr>
                  <w:tcW w:w="650" w:type="dxa"/>
                  <w:vAlign w:val="center"/>
                </w:tcPr>
                <w:p>
                  <w:pPr>
                    <w:pStyle w:val="20"/>
                  </w:pPr>
                  <w:r>
                    <w:rPr>
                      <w:rFonts w:hint="eastAsia"/>
                    </w:rPr>
                    <w:t>危险固废</w:t>
                  </w:r>
                </w:p>
              </w:tc>
              <w:tc>
                <w:tcPr>
                  <w:tcW w:w="1090" w:type="dxa"/>
                  <w:vAlign w:val="center"/>
                </w:tcPr>
                <w:p>
                  <w:pPr>
                    <w:pStyle w:val="20"/>
                  </w:pPr>
                  <w:r>
                    <w:rPr>
                      <w:rFonts w:hint="eastAsia"/>
                    </w:rPr>
                    <w:t>/</w:t>
                  </w:r>
                </w:p>
              </w:tc>
              <w:tc>
                <w:tcPr>
                  <w:tcW w:w="1077" w:type="dxa"/>
                  <w:vAlign w:val="center"/>
                </w:tcPr>
                <w:p>
                  <w:pPr>
                    <w:pStyle w:val="20"/>
                  </w:pPr>
                  <w:r>
                    <w:rPr>
                      <w:rFonts w:hint="eastAsia"/>
                    </w:rPr>
                    <w:t>HW13：900-014-13</w:t>
                  </w:r>
                </w:p>
              </w:tc>
              <w:tc>
                <w:tcPr>
                  <w:tcW w:w="800" w:type="dxa"/>
                  <w:vAlign w:val="center"/>
                </w:tcPr>
                <w:p>
                  <w:pPr>
                    <w:pStyle w:val="20"/>
                    <w:rPr>
                      <w:rFonts w:hint="eastAsia" w:eastAsia="宋体"/>
                      <w:lang w:eastAsia="zh-CN"/>
                    </w:rPr>
                  </w:pPr>
                  <w:r>
                    <w:rPr>
                      <w:rFonts w:hint="eastAsia"/>
                      <w:lang w:val="en-US" w:eastAsia="zh-CN"/>
                    </w:rPr>
                    <w:t>3</w:t>
                  </w:r>
                </w:p>
              </w:tc>
              <w:tc>
                <w:tcPr>
                  <w:tcW w:w="1007" w:type="dxa"/>
                  <w:vMerge w:val="continue"/>
                  <w:vAlign w:val="center"/>
                </w:tcPr>
                <w:p>
                  <w:pPr>
                    <w:pStyle w:val="20"/>
                  </w:pPr>
                </w:p>
              </w:tc>
              <w:tc>
                <w:tcPr>
                  <w:tcW w:w="654" w:type="dxa"/>
                  <w:vAlign w:val="center"/>
                </w:tcPr>
                <w:p>
                  <w:pPr>
                    <w:pStyle w:val="20"/>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rPr>
                      <w:rFonts w:hint="default" w:eastAsia="宋体"/>
                      <w:lang w:val="en-US" w:eastAsia="zh-CN"/>
                    </w:rPr>
                  </w:pPr>
                  <w:r>
                    <w:rPr>
                      <w:rFonts w:hint="eastAsia"/>
                      <w:lang w:val="en-US" w:eastAsia="zh-CN"/>
                    </w:rPr>
                    <w:t>6</w:t>
                  </w:r>
                </w:p>
              </w:tc>
              <w:tc>
                <w:tcPr>
                  <w:tcW w:w="1160" w:type="dxa"/>
                  <w:vAlign w:val="center"/>
                </w:tcPr>
                <w:p>
                  <w:pPr>
                    <w:pStyle w:val="20"/>
                  </w:pPr>
                  <w:r>
                    <w:rPr>
                      <w:rFonts w:hint="eastAsia"/>
                    </w:rPr>
                    <w:t>废电路板</w:t>
                  </w:r>
                </w:p>
              </w:tc>
              <w:tc>
                <w:tcPr>
                  <w:tcW w:w="990" w:type="dxa"/>
                  <w:vAlign w:val="center"/>
                </w:tcPr>
                <w:p>
                  <w:pPr>
                    <w:pStyle w:val="20"/>
                  </w:pPr>
                  <w:r>
                    <w:rPr>
                      <w:rFonts w:hint="eastAsia"/>
                    </w:rPr>
                    <w:t>电芯模组</w:t>
                  </w:r>
                </w:p>
              </w:tc>
              <w:tc>
                <w:tcPr>
                  <w:tcW w:w="650" w:type="dxa"/>
                  <w:vAlign w:val="center"/>
                </w:tcPr>
                <w:p>
                  <w:pPr>
                    <w:pStyle w:val="20"/>
                  </w:pPr>
                  <w:r>
                    <w:rPr>
                      <w:rFonts w:hint="eastAsia"/>
                    </w:rPr>
                    <w:t>危险固废</w:t>
                  </w:r>
                </w:p>
              </w:tc>
              <w:tc>
                <w:tcPr>
                  <w:tcW w:w="1090" w:type="dxa"/>
                  <w:vAlign w:val="center"/>
                </w:tcPr>
                <w:p>
                  <w:pPr>
                    <w:pStyle w:val="20"/>
                  </w:pPr>
                  <w:r>
                    <w:rPr>
                      <w:rFonts w:hint="eastAsia"/>
                    </w:rPr>
                    <w:t>/</w:t>
                  </w:r>
                </w:p>
              </w:tc>
              <w:tc>
                <w:tcPr>
                  <w:tcW w:w="1077" w:type="dxa"/>
                  <w:vAlign w:val="center"/>
                </w:tcPr>
                <w:p>
                  <w:pPr>
                    <w:pStyle w:val="20"/>
                  </w:pPr>
                  <w:r>
                    <w:rPr>
                      <w:rFonts w:hint="eastAsia"/>
                    </w:rPr>
                    <w:t>HW49：900-045-49</w:t>
                  </w:r>
                </w:p>
              </w:tc>
              <w:tc>
                <w:tcPr>
                  <w:tcW w:w="800" w:type="dxa"/>
                  <w:vAlign w:val="center"/>
                </w:tcPr>
                <w:p>
                  <w:pPr>
                    <w:pStyle w:val="20"/>
                    <w:rPr>
                      <w:rFonts w:hint="default" w:eastAsia="宋体"/>
                      <w:lang w:val="en-US" w:eastAsia="zh-CN"/>
                    </w:rPr>
                  </w:pPr>
                  <w:r>
                    <w:rPr>
                      <w:rFonts w:hint="eastAsia"/>
                      <w:lang w:val="en-US" w:eastAsia="zh-CN"/>
                    </w:rPr>
                    <w:t>1</w:t>
                  </w:r>
                </w:p>
              </w:tc>
              <w:tc>
                <w:tcPr>
                  <w:tcW w:w="1007" w:type="dxa"/>
                  <w:vMerge w:val="continue"/>
                  <w:vAlign w:val="center"/>
                </w:tcPr>
                <w:p>
                  <w:pPr>
                    <w:pStyle w:val="20"/>
                  </w:pPr>
                </w:p>
              </w:tc>
              <w:tc>
                <w:tcPr>
                  <w:tcW w:w="654" w:type="dxa"/>
                  <w:vAlign w:val="center"/>
                </w:tcPr>
                <w:p>
                  <w:pPr>
                    <w:pStyle w:val="20"/>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2" w:type="dxa"/>
                  <w:vAlign w:val="center"/>
                </w:tcPr>
                <w:p>
                  <w:pPr>
                    <w:pStyle w:val="20"/>
                    <w:rPr>
                      <w:rFonts w:hint="default"/>
                      <w:lang w:val="en-US" w:eastAsia="zh-CN"/>
                    </w:rPr>
                  </w:pPr>
                  <w:r>
                    <w:rPr>
                      <w:rFonts w:hint="eastAsia"/>
                      <w:lang w:val="en-US" w:eastAsia="zh-CN"/>
                    </w:rPr>
                    <w:t>7</w:t>
                  </w:r>
                </w:p>
              </w:tc>
              <w:tc>
                <w:tcPr>
                  <w:tcW w:w="1160" w:type="dxa"/>
                  <w:vAlign w:val="center"/>
                </w:tcPr>
                <w:p>
                  <w:pPr>
                    <w:pStyle w:val="20"/>
                    <w:rPr>
                      <w:rFonts w:hint="eastAsia" w:eastAsia="宋体"/>
                      <w:lang w:val="en-US" w:eastAsia="zh-CN"/>
                    </w:rPr>
                  </w:pPr>
                  <w:r>
                    <w:rPr>
                      <w:rFonts w:hint="eastAsia"/>
                      <w:lang w:val="en-US" w:eastAsia="zh-CN"/>
                    </w:rPr>
                    <w:t>生活垃圾</w:t>
                  </w:r>
                </w:p>
              </w:tc>
              <w:tc>
                <w:tcPr>
                  <w:tcW w:w="990" w:type="dxa"/>
                  <w:vAlign w:val="center"/>
                </w:tcPr>
                <w:p>
                  <w:pPr>
                    <w:pStyle w:val="20"/>
                    <w:rPr>
                      <w:rFonts w:hint="eastAsia" w:eastAsia="宋体"/>
                      <w:lang w:val="en-US" w:eastAsia="zh-CN"/>
                    </w:rPr>
                  </w:pPr>
                  <w:r>
                    <w:rPr>
                      <w:rFonts w:hint="eastAsia"/>
                      <w:lang w:val="en-US" w:eastAsia="zh-CN"/>
                    </w:rPr>
                    <w:t>员工生活</w:t>
                  </w:r>
                </w:p>
              </w:tc>
              <w:tc>
                <w:tcPr>
                  <w:tcW w:w="650" w:type="dxa"/>
                  <w:vAlign w:val="center"/>
                </w:tcPr>
                <w:p>
                  <w:pPr>
                    <w:pStyle w:val="20"/>
                    <w:rPr>
                      <w:rFonts w:hint="eastAsia" w:eastAsia="宋体"/>
                      <w:lang w:val="en-US" w:eastAsia="zh-CN"/>
                    </w:rPr>
                  </w:pPr>
                  <w:r>
                    <w:rPr>
                      <w:rFonts w:hint="eastAsia"/>
                      <w:lang w:val="en-US" w:eastAsia="zh-CN"/>
                    </w:rPr>
                    <w:t>/</w:t>
                  </w:r>
                </w:p>
              </w:tc>
              <w:tc>
                <w:tcPr>
                  <w:tcW w:w="1090" w:type="dxa"/>
                  <w:vAlign w:val="center"/>
                </w:tcPr>
                <w:p>
                  <w:pPr>
                    <w:pStyle w:val="20"/>
                    <w:rPr>
                      <w:rFonts w:hint="eastAsia" w:eastAsia="宋体"/>
                      <w:lang w:val="en-US" w:eastAsia="zh-CN"/>
                    </w:rPr>
                  </w:pPr>
                  <w:r>
                    <w:rPr>
                      <w:rFonts w:hint="eastAsia"/>
                      <w:lang w:val="en-US" w:eastAsia="zh-CN"/>
                    </w:rPr>
                    <w:t>/</w:t>
                  </w:r>
                </w:p>
              </w:tc>
              <w:tc>
                <w:tcPr>
                  <w:tcW w:w="1077" w:type="dxa"/>
                  <w:vAlign w:val="center"/>
                </w:tcPr>
                <w:p>
                  <w:pPr>
                    <w:pStyle w:val="20"/>
                    <w:rPr>
                      <w:rFonts w:hint="eastAsia" w:eastAsia="宋体"/>
                      <w:lang w:val="en-US" w:eastAsia="zh-CN"/>
                    </w:rPr>
                  </w:pPr>
                  <w:r>
                    <w:rPr>
                      <w:rFonts w:hint="eastAsia"/>
                      <w:lang w:val="en-US" w:eastAsia="zh-CN"/>
                    </w:rPr>
                    <w:t>/</w:t>
                  </w:r>
                </w:p>
              </w:tc>
              <w:tc>
                <w:tcPr>
                  <w:tcW w:w="800" w:type="dxa"/>
                  <w:vAlign w:val="center"/>
                </w:tcPr>
                <w:p>
                  <w:pPr>
                    <w:pStyle w:val="20"/>
                    <w:rPr>
                      <w:rFonts w:hint="default"/>
                      <w:lang w:val="en-US" w:eastAsia="zh-CN"/>
                    </w:rPr>
                  </w:pPr>
                  <w:r>
                    <w:rPr>
                      <w:rFonts w:hint="eastAsia"/>
                      <w:lang w:val="en-US" w:eastAsia="zh-CN"/>
                    </w:rPr>
                    <w:t>52.8</w:t>
                  </w:r>
                </w:p>
              </w:tc>
              <w:tc>
                <w:tcPr>
                  <w:tcW w:w="1007" w:type="dxa"/>
                  <w:vAlign w:val="center"/>
                </w:tcPr>
                <w:p>
                  <w:pPr>
                    <w:pStyle w:val="20"/>
                    <w:rPr>
                      <w:rFonts w:hint="default" w:eastAsia="宋体"/>
                      <w:lang w:val="en-US" w:eastAsia="zh-CN"/>
                    </w:rPr>
                  </w:pPr>
                  <w:r>
                    <w:rPr>
                      <w:rFonts w:hint="eastAsia"/>
                      <w:lang w:val="en-US" w:eastAsia="zh-CN"/>
                    </w:rPr>
                    <w:t>环卫部门清运</w:t>
                  </w:r>
                </w:p>
              </w:tc>
              <w:tc>
                <w:tcPr>
                  <w:tcW w:w="654" w:type="dxa"/>
                  <w:vAlign w:val="center"/>
                </w:tcPr>
                <w:p>
                  <w:pPr>
                    <w:pStyle w:val="20"/>
                    <w:rPr>
                      <w:rFonts w:hint="eastAsia" w:eastAsia="宋体"/>
                      <w:lang w:val="en-US" w:eastAsia="zh-CN"/>
                    </w:rPr>
                  </w:pPr>
                  <w:r>
                    <w:rPr>
                      <w:rFonts w:hint="eastAsia"/>
                      <w:lang w:val="en-US" w:eastAsia="zh-CN"/>
                    </w:rPr>
                    <w:t>是</w:t>
                  </w:r>
                </w:p>
              </w:tc>
            </w:tr>
          </w:tbl>
          <w:p>
            <w:pPr>
              <w:adjustRightInd w:val="0"/>
              <w:ind w:firstLine="320"/>
            </w:pPr>
            <w:r>
              <w:rPr>
                <w:rFonts w:hint="eastAsia"/>
                <w:bCs/>
                <w:spacing w:val="-10"/>
                <w:sz w:val="18"/>
                <w:szCs w:val="18"/>
              </w:rPr>
              <w:t>注：一</w:t>
            </w:r>
            <w:r>
              <w:rPr>
                <w:rFonts w:hint="eastAsia"/>
                <w:bCs/>
                <w:sz w:val="18"/>
              </w:rPr>
              <w:t>般固废代码依据《固体废物分类与代码目录》(生态环境部公告2024年第4号)确定。</w:t>
            </w:r>
          </w:p>
          <w:p>
            <w:pPr>
              <w:pStyle w:val="6"/>
            </w:pPr>
            <w:r>
              <w:t>4.5.2环境管理要求</w:t>
            </w:r>
          </w:p>
          <w:p>
            <w:pPr>
              <w:adjustRightInd w:val="0"/>
              <w:ind w:left="30" w:firstLine="420"/>
            </w:pPr>
            <w:r>
              <w:t>（1）一般固废</w:t>
            </w:r>
          </w:p>
          <w:p>
            <w:pPr>
              <w:adjustRightInd w:val="0"/>
              <w:ind w:left="30" w:firstLine="420"/>
            </w:pPr>
            <w:r>
              <w:rPr>
                <w:rFonts w:hint="eastAsia"/>
              </w:rPr>
              <w:t>本项目一般固废主要有</w:t>
            </w:r>
            <w:r>
              <w:rPr>
                <w:rFonts w:hint="eastAsia"/>
                <w:lang w:val="en-US" w:eastAsia="zh-CN"/>
              </w:rPr>
              <w:t>不合格电芯、废胶纸、废五金件、废线束、废包装材料</w:t>
            </w:r>
            <w:r>
              <w:rPr>
                <w:rFonts w:hint="eastAsia"/>
              </w:rPr>
              <w:t>，经收集后外卖综合利用。</w:t>
            </w:r>
            <w:r>
              <w:rPr>
                <w:rFonts w:hint="eastAsia"/>
                <w:lang w:val="en-US" w:eastAsia="zh-CN"/>
              </w:rPr>
              <w:t>依托现有一般固废仓库，位于在厂区西北角，占地面积1300m</w:t>
            </w:r>
            <w:r>
              <w:rPr>
                <w:rFonts w:hint="eastAsia"/>
                <w:vertAlign w:val="superscript"/>
                <w:lang w:val="en-US" w:eastAsia="zh-CN"/>
              </w:rPr>
              <w:t>2</w:t>
            </w:r>
            <w:r>
              <w:rPr>
                <w:rFonts w:hint="eastAsia"/>
                <w:vertAlign w:val="baseline"/>
                <w:lang w:val="en-US" w:eastAsia="zh-CN"/>
              </w:rPr>
              <w:t>，能够满足使用需求。</w:t>
            </w:r>
            <w:r>
              <w:rPr>
                <w:rFonts w:hint="eastAsia"/>
              </w:rPr>
              <w:t>要求企业做好管理，产品、原料的堆放位置及固废堆场需明确，保持车间内整洁</w:t>
            </w:r>
            <w:r>
              <w:t>。</w:t>
            </w:r>
          </w:p>
          <w:p>
            <w:pPr>
              <w:ind w:firstLine="420"/>
            </w:pPr>
            <w:r>
              <w:rPr>
                <w:rFonts w:hint="eastAsia"/>
              </w:rPr>
              <w:t>根据《嘉兴市人民政府办公室关于加强一般工业固体废物规范管理和依法处置的意见》（嘉政办发[2021]8号）做好一般固废的贮存、运输及处置工作。具体要求如下：</w:t>
            </w:r>
          </w:p>
          <w:p>
            <w:pPr>
              <w:ind w:firstLine="420"/>
            </w:pPr>
            <w:r>
              <w:t>1</w:t>
            </w:r>
            <w:r>
              <w:rPr>
                <w:rFonts w:hint="eastAsia"/>
              </w:rPr>
              <w:t>、</w:t>
            </w:r>
            <w:r>
              <w:t>一般工业固体废物贮存企业需在固废出入口、分拣、打包、拆解、贮存等场所安装视频监控，监控信息保存期限不少于6个月。</w:t>
            </w:r>
          </w:p>
          <w:p>
            <w:pPr>
              <w:ind w:firstLine="420"/>
            </w:pPr>
            <w:r>
              <w:t>2</w:t>
            </w:r>
            <w:r>
              <w:rPr>
                <w:rFonts w:hint="eastAsia"/>
              </w:rPr>
              <w:t>、</w:t>
            </w:r>
            <w:r>
              <w:t>贮存企业接收一般工业固体废物前要与上游产废、下游利用处置企业签订三方书面合同。</w:t>
            </w:r>
          </w:p>
          <w:p>
            <w:pPr>
              <w:ind w:firstLine="420"/>
            </w:pPr>
            <w:r>
              <w:t>3</w:t>
            </w:r>
            <w:r>
              <w:rPr>
                <w:rFonts w:hint="eastAsia"/>
              </w:rPr>
              <w:t>、</w:t>
            </w:r>
            <w:r>
              <w:t>贮存企业接收、转移一般工业固体废物需执行电子联单制度，同时建立纸质台账</w:t>
            </w:r>
            <w:r>
              <w:rPr>
                <w:rFonts w:hint="eastAsia"/>
              </w:rPr>
              <w:t>、</w:t>
            </w:r>
            <w:r>
              <w:t>和电子台账，如实记录收集、贮存和转移情况。</w:t>
            </w:r>
          </w:p>
          <w:p>
            <w:pPr>
              <w:ind w:firstLine="420"/>
            </w:pPr>
            <w:r>
              <w:t>4</w:t>
            </w:r>
            <w:r>
              <w:rPr>
                <w:rFonts w:hint="eastAsia"/>
              </w:rPr>
              <w:t>、</w:t>
            </w:r>
            <w:r>
              <w:t>纸质台账需按日填写，及时记录收集和转移情况；</w:t>
            </w:r>
          </w:p>
          <w:p>
            <w:pPr>
              <w:ind w:firstLine="420"/>
            </w:pPr>
            <w:r>
              <w:t>5</w:t>
            </w:r>
            <w:r>
              <w:rPr>
                <w:rFonts w:hint="eastAsia"/>
              </w:rPr>
              <w:t>、</w:t>
            </w:r>
            <w:r>
              <w:t>电子台账主要以系统自动生成为主，如由于水分蒸发、称重误差导致的库存量与实际不一致的，要及时申请修正库存量。</w:t>
            </w:r>
          </w:p>
          <w:p>
            <w:pPr>
              <w:ind w:firstLine="420"/>
            </w:pPr>
            <w:r>
              <w:t>6</w:t>
            </w:r>
            <w:r>
              <w:rPr>
                <w:rFonts w:hint="eastAsia"/>
              </w:rPr>
              <w:t>、</w:t>
            </w:r>
            <w:r>
              <w:t>贮存企业在接收一般工业固体废物时，要查验清楚要接收的固废类别和数量，不得超范围经营（超范围的要及时拒收，并确保固废返回产废企业内），交接完成后及时向产废企业反馈移交情况（反馈信息有留痕记录）。</w:t>
            </w:r>
          </w:p>
          <w:p>
            <w:pPr>
              <w:ind w:firstLine="420"/>
            </w:pPr>
            <w:r>
              <w:t>7</w:t>
            </w:r>
            <w:r>
              <w:rPr>
                <w:rFonts w:hint="eastAsia"/>
              </w:rPr>
              <w:t>、</w:t>
            </w:r>
            <w:r>
              <w:t>贮存企业接收的一般工业固体废物要及时委托利用、处置单位处理。</w:t>
            </w:r>
          </w:p>
          <w:p>
            <w:pPr>
              <w:ind w:firstLine="420"/>
            </w:pPr>
            <w:r>
              <w:t>（2）</w:t>
            </w:r>
            <w:r>
              <w:rPr>
                <w:rFonts w:hint="eastAsia"/>
              </w:rPr>
              <w:t>危险废物</w:t>
            </w:r>
          </w:p>
          <w:p>
            <w:pPr>
              <w:ind w:firstLine="420"/>
            </w:pPr>
            <w:r>
              <w:rPr>
                <w:rFonts w:hint="eastAsia"/>
              </w:rPr>
              <w:t>本项目危废主要为</w:t>
            </w:r>
            <w:r>
              <w:rPr>
                <w:rFonts w:hint="eastAsia"/>
                <w:lang w:val="en-US" w:eastAsia="zh-CN"/>
              </w:rPr>
              <w:t>沾染化学品的废包装物、废胶、废电路板，</w:t>
            </w:r>
            <w:r>
              <w:rPr>
                <w:rFonts w:hint="eastAsia"/>
              </w:rPr>
              <w:t>危废均委托有资质单位进行处置</w:t>
            </w:r>
            <w:r>
              <w:t>，在此基础上，本项目各类危废均可得到妥善处置，对环境影响不大</w:t>
            </w:r>
            <w:r>
              <w:rPr>
                <w:rFonts w:hint="eastAsia"/>
              </w:rPr>
              <w:t>。本项目</w:t>
            </w:r>
            <w:r>
              <w:rPr>
                <w:rFonts w:hint="eastAsia"/>
                <w:lang w:val="en-US" w:eastAsia="zh-CN"/>
              </w:rPr>
              <w:t>依托现有</w:t>
            </w:r>
            <w:r>
              <w:rPr>
                <w:rFonts w:hint="eastAsia"/>
              </w:rPr>
              <w:t>危废仓库，位于厂区西北侧，面积约</w:t>
            </w:r>
            <w:r>
              <w:rPr>
                <w:rFonts w:hint="eastAsia"/>
                <w:lang w:val="en-US" w:eastAsia="zh-CN"/>
              </w:rPr>
              <w:t>1499.1</w:t>
            </w:r>
            <w:r>
              <w:rPr>
                <w:rFonts w:hint="eastAsia"/>
              </w:rPr>
              <w:t>m</w:t>
            </w:r>
            <w:r>
              <w:rPr>
                <w:vertAlign w:val="superscript"/>
              </w:rPr>
              <w:t>2</w:t>
            </w:r>
            <w:r>
              <w:rPr>
                <w:rFonts w:hint="eastAsia"/>
                <w:vertAlign w:val="baseline"/>
                <w:lang w:eastAsia="zh-CN"/>
              </w:rPr>
              <w:t>，</w:t>
            </w:r>
            <w:r>
              <w:rPr>
                <w:rFonts w:hint="eastAsia"/>
              </w:rPr>
              <w:t>危废仓库</w:t>
            </w:r>
            <w:r>
              <w:rPr>
                <w:rFonts w:hint="eastAsia"/>
                <w:lang w:val="en-US" w:eastAsia="zh-CN"/>
              </w:rPr>
              <w:t>已</w:t>
            </w:r>
            <w:r>
              <w:rPr>
                <w:rFonts w:hint="eastAsia"/>
              </w:rPr>
              <w:t>做好防风、防雨、防晒、防渗漏等措施，</w:t>
            </w:r>
            <w:r>
              <w:t>实行分区储存，</w:t>
            </w:r>
            <w:r>
              <w:rPr>
                <w:rFonts w:hint="eastAsia"/>
              </w:rPr>
              <w:t>危废仓库</w:t>
            </w:r>
            <w:r>
              <w:t>为独立房间，</w:t>
            </w:r>
            <w:r>
              <w:rPr>
                <w:rFonts w:hint="eastAsia"/>
              </w:rPr>
              <w:t>室内设置液体收集井</w:t>
            </w:r>
            <w:r>
              <w:t>，内部设置</w:t>
            </w:r>
            <w:r>
              <w:rPr>
                <w:rFonts w:hint="eastAsia"/>
              </w:rPr>
              <w:t>导流</w:t>
            </w:r>
            <w:r>
              <w:t>沟，并做到封闭式管理。各类危险废物平时收集后妥善贮存于</w:t>
            </w:r>
            <w:r>
              <w:rPr>
                <w:rFonts w:hint="eastAsia"/>
              </w:rPr>
              <w:t>危废仓库</w:t>
            </w:r>
            <w:r>
              <w:t>，定期委托处置。本项目实施后危废仓库基本情况如表</w:t>
            </w:r>
            <w:r>
              <w:rPr>
                <w:rFonts w:hint="eastAsia"/>
              </w:rPr>
              <w:t>4.5-5</w:t>
            </w:r>
            <w:r>
              <w:t>所示</w:t>
            </w:r>
            <w:r>
              <w:rPr>
                <w:rFonts w:hint="eastAsia"/>
              </w:rPr>
              <w:t>。</w:t>
            </w:r>
          </w:p>
          <w:p>
            <w:pPr>
              <w:ind w:firstLine="0" w:firstLineChars="0"/>
              <w:jc w:val="center"/>
              <w:rPr>
                <w:rFonts w:hint="eastAsia"/>
                <w:b/>
                <w:bCs/>
              </w:rPr>
            </w:pPr>
          </w:p>
          <w:p>
            <w:pPr>
              <w:ind w:firstLine="0" w:firstLineChars="0"/>
              <w:jc w:val="center"/>
              <w:rPr>
                <w:rFonts w:hint="eastAsia"/>
                <w:b/>
                <w:bCs/>
              </w:rPr>
            </w:pPr>
          </w:p>
          <w:p>
            <w:pPr>
              <w:ind w:firstLine="0" w:firstLineChars="0"/>
              <w:jc w:val="center"/>
              <w:rPr>
                <w:b/>
                <w:bCs/>
              </w:rPr>
            </w:pPr>
            <w:r>
              <w:rPr>
                <w:rFonts w:hint="eastAsia"/>
                <w:b/>
                <w:bCs/>
              </w:rPr>
              <w:t xml:space="preserve">表4.5-5  </w:t>
            </w:r>
            <w:r>
              <w:rPr>
                <w:b/>
                <w:bCs/>
              </w:rPr>
              <w:t>危险废物贮存场所基本情况</w:t>
            </w:r>
          </w:p>
          <w:tbl>
            <w:tblPr>
              <w:tblStyle w:val="15"/>
              <w:tblW w:w="499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472"/>
              <w:gridCol w:w="474"/>
              <w:gridCol w:w="1111"/>
              <w:gridCol w:w="656"/>
              <w:gridCol w:w="1045"/>
              <w:gridCol w:w="916"/>
              <w:gridCol w:w="900"/>
              <w:gridCol w:w="840"/>
              <w:gridCol w:w="701"/>
              <w:gridCol w:w="76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jc w:val="center"/>
              </w:trPr>
              <w:tc>
                <w:tcPr>
                  <w:tcW w:w="472" w:type="dxa"/>
                  <w:tcMar>
                    <w:left w:w="57" w:type="dxa"/>
                    <w:right w:w="57" w:type="dxa"/>
                  </w:tcMar>
                  <w:vAlign w:val="center"/>
                </w:tcPr>
                <w:p>
                  <w:pPr>
                    <w:pStyle w:val="20"/>
                  </w:pPr>
                  <w:r>
                    <w:t>序号</w:t>
                  </w:r>
                </w:p>
              </w:tc>
              <w:tc>
                <w:tcPr>
                  <w:tcW w:w="474" w:type="dxa"/>
                  <w:tcMar>
                    <w:left w:w="57" w:type="dxa"/>
                    <w:right w:w="57" w:type="dxa"/>
                  </w:tcMar>
                  <w:vAlign w:val="center"/>
                </w:tcPr>
                <w:p>
                  <w:pPr>
                    <w:pStyle w:val="20"/>
                  </w:pPr>
                  <w:r>
                    <w:t>贮存场所</w:t>
                  </w:r>
                </w:p>
                <w:p>
                  <w:pPr>
                    <w:pStyle w:val="20"/>
                  </w:pPr>
                  <w:r>
                    <w:t>名称</w:t>
                  </w:r>
                </w:p>
              </w:tc>
              <w:tc>
                <w:tcPr>
                  <w:tcW w:w="1111" w:type="dxa"/>
                  <w:tcMar>
                    <w:left w:w="57" w:type="dxa"/>
                    <w:right w:w="57" w:type="dxa"/>
                  </w:tcMar>
                  <w:vAlign w:val="center"/>
                </w:tcPr>
                <w:p>
                  <w:pPr>
                    <w:pStyle w:val="20"/>
                  </w:pPr>
                  <w:r>
                    <w:t>贮存的危险废物名称</w:t>
                  </w:r>
                </w:p>
              </w:tc>
              <w:tc>
                <w:tcPr>
                  <w:tcW w:w="656" w:type="dxa"/>
                  <w:tcMar>
                    <w:left w:w="57" w:type="dxa"/>
                    <w:right w:w="57" w:type="dxa"/>
                  </w:tcMar>
                  <w:vAlign w:val="center"/>
                </w:tcPr>
                <w:p>
                  <w:pPr>
                    <w:pStyle w:val="20"/>
                  </w:pPr>
                  <w:r>
                    <w:t>危险废物类别</w:t>
                  </w:r>
                </w:p>
              </w:tc>
              <w:tc>
                <w:tcPr>
                  <w:tcW w:w="1045" w:type="dxa"/>
                  <w:tcMar>
                    <w:left w:w="57" w:type="dxa"/>
                    <w:right w:w="57" w:type="dxa"/>
                  </w:tcMar>
                  <w:vAlign w:val="center"/>
                </w:tcPr>
                <w:p>
                  <w:pPr>
                    <w:pStyle w:val="20"/>
                  </w:pPr>
                  <w:r>
                    <w:t>危险废物</w:t>
                  </w:r>
                </w:p>
                <w:p>
                  <w:pPr>
                    <w:pStyle w:val="20"/>
                  </w:pPr>
                  <w:r>
                    <w:t>代码</w:t>
                  </w:r>
                </w:p>
              </w:tc>
              <w:tc>
                <w:tcPr>
                  <w:tcW w:w="916" w:type="dxa"/>
                  <w:tcMar>
                    <w:left w:w="57" w:type="dxa"/>
                    <w:right w:w="57" w:type="dxa"/>
                  </w:tcMar>
                  <w:vAlign w:val="center"/>
                </w:tcPr>
                <w:p>
                  <w:pPr>
                    <w:pStyle w:val="20"/>
                  </w:pPr>
                  <w:r>
                    <w:t>位置</w:t>
                  </w:r>
                </w:p>
              </w:tc>
              <w:tc>
                <w:tcPr>
                  <w:tcW w:w="900" w:type="dxa"/>
                  <w:tcMar>
                    <w:left w:w="57" w:type="dxa"/>
                    <w:right w:w="57" w:type="dxa"/>
                  </w:tcMar>
                  <w:vAlign w:val="center"/>
                </w:tcPr>
                <w:p>
                  <w:pPr>
                    <w:pStyle w:val="20"/>
                  </w:pPr>
                  <w:r>
                    <w:t>占地面积</w:t>
                  </w:r>
                </w:p>
              </w:tc>
              <w:tc>
                <w:tcPr>
                  <w:tcW w:w="840" w:type="dxa"/>
                  <w:tcMar>
                    <w:left w:w="57" w:type="dxa"/>
                    <w:right w:w="57" w:type="dxa"/>
                  </w:tcMar>
                  <w:vAlign w:val="center"/>
                </w:tcPr>
                <w:p>
                  <w:pPr>
                    <w:pStyle w:val="20"/>
                  </w:pPr>
                  <w:r>
                    <w:t>贮存方式</w:t>
                  </w:r>
                </w:p>
              </w:tc>
              <w:tc>
                <w:tcPr>
                  <w:tcW w:w="701" w:type="dxa"/>
                  <w:tcMar>
                    <w:left w:w="57" w:type="dxa"/>
                    <w:right w:w="57" w:type="dxa"/>
                  </w:tcMar>
                  <w:vAlign w:val="center"/>
                </w:tcPr>
                <w:p>
                  <w:pPr>
                    <w:pStyle w:val="20"/>
                  </w:pPr>
                  <w:r>
                    <w:t>贮存</w:t>
                  </w:r>
                </w:p>
                <w:p>
                  <w:pPr>
                    <w:pStyle w:val="20"/>
                  </w:pPr>
                  <w:r>
                    <w:t>能力</w:t>
                  </w:r>
                </w:p>
              </w:tc>
              <w:tc>
                <w:tcPr>
                  <w:tcW w:w="768" w:type="dxa"/>
                  <w:tcMar>
                    <w:left w:w="57" w:type="dxa"/>
                    <w:right w:w="57" w:type="dxa"/>
                  </w:tcMar>
                  <w:vAlign w:val="center"/>
                </w:tcPr>
                <w:p>
                  <w:pPr>
                    <w:pStyle w:val="20"/>
                  </w:pPr>
                  <w:r>
                    <w:t>贮存</w:t>
                  </w:r>
                </w:p>
                <w:p>
                  <w:pPr>
                    <w:pStyle w:val="20"/>
                  </w:pPr>
                  <w:r>
                    <w:t>周期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23" w:hRule="atLeast"/>
                <w:jc w:val="center"/>
              </w:trPr>
              <w:tc>
                <w:tcPr>
                  <w:tcW w:w="472" w:type="dxa"/>
                  <w:tcMar>
                    <w:left w:w="57" w:type="dxa"/>
                    <w:right w:w="57" w:type="dxa"/>
                  </w:tcMar>
                  <w:vAlign w:val="center"/>
                </w:tcPr>
                <w:p>
                  <w:pPr>
                    <w:pStyle w:val="20"/>
                  </w:pPr>
                  <w:r>
                    <w:rPr>
                      <w:rFonts w:hint="eastAsia"/>
                    </w:rPr>
                    <w:t>1</w:t>
                  </w:r>
                </w:p>
              </w:tc>
              <w:tc>
                <w:tcPr>
                  <w:tcW w:w="474" w:type="dxa"/>
                  <w:vMerge w:val="restart"/>
                  <w:tcMar>
                    <w:left w:w="57" w:type="dxa"/>
                    <w:right w:w="57" w:type="dxa"/>
                  </w:tcMar>
                  <w:vAlign w:val="center"/>
                </w:tcPr>
                <w:p>
                  <w:pPr>
                    <w:pStyle w:val="20"/>
                  </w:pPr>
                  <w:r>
                    <w:rPr>
                      <w:rFonts w:hint="eastAsia"/>
                    </w:rPr>
                    <w:t>危废仓库</w:t>
                  </w:r>
                </w:p>
              </w:tc>
              <w:tc>
                <w:tcPr>
                  <w:tcW w:w="1111" w:type="dxa"/>
                  <w:tcMar>
                    <w:left w:w="57" w:type="dxa"/>
                    <w:right w:w="57" w:type="dxa"/>
                  </w:tcMar>
                  <w:vAlign w:val="center"/>
                </w:tcPr>
                <w:p>
                  <w:pPr>
                    <w:pStyle w:val="20"/>
                    <w:rPr>
                      <w:rFonts w:hint="default" w:eastAsia="宋体"/>
                      <w:lang w:val="en-US" w:eastAsia="zh-CN"/>
                    </w:rPr>
                  </w:pPr>
                  <w:r>
                    <w:rPr>
                      <w:rFonts w:hint="eastAsia"/>
                      <w:lang w:val="en-US" w:eastAsia="zh-CN"/>
                    </w:rPr>
                    <w:t>沾染化学品的废包装物</w:t>
                  </w:r>
                </w:p>
              </w:tc>
              <w:tc>
                <w:tcPr>
                  <w:tcW w:w="656" w:type="dxa"/>
                  <w:tcMar>
                    <w:left w:w="57" w:type="dxa"/>
                    <w:right w:w="57" w:type="dxa"/>
                  </w:tcMar>
                  <w:vAlign w:val="center"/>
                </w:tcPr>
                <w:p>
                  <w:pPr>
                    <w:pStyle w:val="20"/>
                  </w:pPr>
                  <w:r>
                    <w:rPr>
                      <w:rFonts w:hint="eastAsia"/>
                    </w:rPr>
                    <w:t>HW49</w:t>
                  </w:r>
                </w:p>
              </w:tc>
              <w:tc>
                <w:tcPr>
                  <w:tcW w:w="1045" w:type="dxa"/>
                  <w:tcMar>
                    <w:left w:w="57" w:type="dxa"/>
                    <w:right w:w="57" w:type="dxa"/>
                  </w:tcMar>
                  <w:vAlign w:val="center"/>
                </w:tcPr>
                <w:p>
                  <w:pPr>
                    <w:pStyle w:val="20"/>
                  </w:pPr>
                  <w:r>
                    <w:rPr>
                      <w:rFonts w:hint="eastAsia"/>
                    </w:rPr>
                    <w:t>900-0</w:t>
                  </w:r>
                  <w:r>
                    <w:rPr>
                      <w:rFonts w:hint="eastAsia"/>
                      <w:lang w:val="en-US" w:eastAsia="zh-CN"/>
                    </w:rPr>
                    <w:t>41</w:t>
                  </w:r>
                  <w:r>
                    <w:rPr>
                      <w:rFonts w:hint="eastAsia"/>
                    </w:rPr>
                    <w:t>-49</w:t>
                  </w:r>
                </w:p>
              </w:tc>
              <w:tc>
                <w:tcPr>
                  <w:tcW w:w="916" w:type="dxa"/>
                  <w:vMerge w:val="restart"/>
                  <w:tcMar>
                    <w:left w:w="57" w:type="dxa"/>
                    <w:right w:w="57" w:type="dxa"/>
                  </w:tcMar>
                  <w:vAlign w:val="center"/>
                </w:tcPr>
                <w:p>
                  <w:pPr>
                    <w:pStyle w:val="20"/>
                  </w:pPr>
                  <w:r>
                    <w:rPr>
                      <w:rFonts w:hint="eastAsia"/>
                    </w:rPr>
                    <w:t>厂区西</w:t>
                  </w:r>
                  <w:r>
                    <w:rPr>
                      <w:rFonts w:hint="eastAsia"/>
                      <w:lang w:val="en-US" w:eastAsia="zh-CN"/>
                    </w:rPr>
                    <w:t>北</w:t>
                  </w:r>
                  <w:r>
                    <w:rPr>
                      <w:rFonts w:hint="eastAsia"/>
                    </w:rPr>
                    <w:t>侧</w:t>
                  </w:r>
                </w:p>
              </w:tc>
              <w:tc>
                <w:tcPr>
                  <w:tcW w:w="900" w:type="dxa"/>
                  <w:vMerge w:val="restart"/>
                  <w:tcMar>
                    <w:left w:w="57" w:type="dxa"/>
                    <w:right w:w="57" w:type="dxa"/>
                  </w:tcMar>
                  <w:vAlign w:val="center"/>
                </w:tcPr>
                <w:p>
                  <w:pPr>
                    <w:pStyle w:val="20"/>
                  </w:pPr>
                  <w:r>
                    <w:rPr>
                      <w:rFonts w:hint="eastAsia"/>
                      <w:lang w:val="en-US" w:eastAsia="zh-CN"/>
                    </w:rPr>
                    <w:t>1499.1</w:t>
                  </w:r>
                  <w:r>
                    <w:t>m</w:t>
                  </w:r>
                  <w:r>
                    <w:rPr>
                      <w:vertAlign w:val="superscript"/>
                    </w:rPr>
                    <w:t>2</w:t>
                  </w:r>
                </w:p>
              </w:tc>
              <w:tc>
                <w:tcPr>
                  <w:tcW w:w="840" w:type="dxa"/>
                  <w:tcMar>
                    <w:left w:w="57" w:type="dxa"/>
                    <w:right w:w="57" w:type="dxa"/>
                  </w:tcMar>
                  <w:vAlign w:val="center"/>
                </w:tcPr>
                <w:p>
                  <w:pPr>
                    <w:pStyle w:val="20"/>
                  </w:pPr>
                  <w:r>
                    <w:rPr>
                      <w:rFonts w:hint="eastAsia"/>
                    </w:rPr>
                    <w:t>密封袋装</w:t>
                  </w:r>
                </w:p>
              </w:tc>
              <w:tc>
                <w:tcPr>
                  <w:tcW w:w="701" w:type="dxa"/>
                  <w:vMerge w:val="restart"/>
                  <w:tcMar>
                    <w:left w:w="57" w:type="dxa"/>
                    <w:right w:w="57" w:type="dxa"/>
                  </w:tcMar>
                  <w:vAlign w:val="center"/>
                </w:tcPr>
                <w:p>
                  <w:pPr>
                    <w:pStyle w:val="20"/>
                  </w:pPr>
                  <w:r>
                    <w:rPr>
                      <w:rFonts w:hint="eastAsia"/>
                      <w:lang w:val="en-US" w:eastAsia="zh-CN"/>
                    </w:rPr>
                    <w:t>50</w:t>
                  </w:r>
                  <w:r>
                    <w:t>t</w:t>
                  </w:r>
                </w:p>
              </w:tc>
              <w:tc>
                <w:tcPr>
                  <w:tcW w:w="768" w:type="dxa"/>
                  <w:vMerge w:val="restart"/>
                  <w:tcMar>
                    <w:left w:w="57" w:type="dxa"/>
                    <w:right w:w="57" w:type="dxa"/>
                  </w:tcMar>
                  <w:vAlign w:val="center"/>
                </w:tcPr>
                <w:p>
                  <w:pPr>
                    <w:pStyle w:val="20"/>
                  </w:pPr>
                  <w:r>
                    <w:rPr>
                      <w:rFonts w:hint="eastAsia"/>
                      <w:lang w:val="en-US" w:eastAsia="zh-CN"/>
                    </w:rPr>
                    <w:t>1</w:t>
                  </w:r>
                  <w:r>
                    <w:t>个月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jc w:val="center"/>
              </w:trPr>
              <w:tc>
                <w:tcPr>
                  <w:tcW w:w="472" w:type="dxa"/>
                  <w:tcMar>
                    <w:left w:w="57" w:type="dxa"/>
                    <w:right w:w="57" w:type="dxa"/>
                  </w:tcMar>
                  <w:vAlign w:val="center"/>
                </w:tcPr>
                <w:p>
                  <w:pPr>
                    <w:pStyle w:val="20"/>
                  </w:pPr>
                  <w:r>
                    <w:rPr>
                      <w:rFonts w:hint="eastAsia"/>
                    </w:rPr>
                    <w:t>2</w:t>
                  </w:r>
                </w:p>
              </w:tc>
              <w:tc>
                <w:tcPr>
                  <w:tcW w:w="474" w:type="dxa"/>
                  <w:vMerge w:val="continue"/>
                  <w:tcMar>
                    <w:left w:w="57" w:type="dxa"/>
                    <w:right w:w="57" w:type="dxa"/>
                  </w:tcMar>
                  <w:vAlign w:val="center"/>
                </w:tcPr>
                <w:p>
                  <w:pPr>
                    <w:pStyle w:val="20"/>
                  </w:pPr>
                </w:p>
              </w:tc>
              <w:tc>
                <w:tcPr>
                  <w:tcW w:w="1111" w:type="dxa"/>
                  <w:tcMar>
                    <w:left w:w="57" w:type="dxa"/>
                    <w:right w:w="57" w:type="dxa"/>
                  </w:tcMar>
                  <w:vAlign w:val="center"/>
                </w:tcPr>
                <w:p>
                  <w:pPr>
                    <w:pStyle w:val="20"/>
                    <w:rPr>
                      <w:rFonts w:hint="eastAsia" w:eastAsia="宋体"/>
                      <w:lang w:eastAsia="zh-CN"/>
                    </w:rPr>
                  </w:pPr>
                  <w:r>
                    <w:rPr>
                      <w:rFonts w:hint="eastAsia"/>
                      <w:lang w:val="en-US" w:eastAsia="zh-CN"/>
                    </w:rPr>
                    <w:t>废胶</w:t>
                  </w:r>
                </w:p>
              </w:tc>
              <w:tc>
                <w:tcPr>
                  <w:tcW w:w="656" w:type="dxa"/>
                  <w:tcMar>
                    <w:left w:w="57" w:type="dxa"/>
                    <w:right w:w="57" w:type="dxa"/>
                  </w:tcMar>
                  <w:vAlign w:val="center"/>
                </w:tcPr>
                <w:p>
                  <w:pPr>
                    <w:pStyle w:val="20"/>
                    <w:rPr>
                      <w:rFonts w:hint="default" w:eastAsia="宋体"/>
                      <w:lang w:val="en-US" w:eastAsia="zh-CN"/>
                    </w:rPr>
                  </w:pPr>
                  <w:r>
                    <w:t>HW</w:t>
                  </w:r>
                  <w:r>
                    <w:rPr>
                      <w:rFonts w:hint="eastAsia"/>
                      <w:lang w:val="en-US" w:eastAsia="zh-CN"/>
                    </w:rPr>
                    <w:t>13</w:t>
                  </w:r>
                </w:p>
              </w:tc>
              <w:tc>
                <w:tcPr>
                  <w:tcW w:w="1045" w:type="dxa"/>
                  <w:tcMar>
                    <w:left w:w="57" w:type="dxa"/>
                    <w:right w:w="57" w:type="dxa"/>
                  </w:tcMar>
                  <w:vAlign w:val="center"/>
                </w:tcPr>
                <w:p>
                  <w:pPr>
                    <w:pStyle w:val="20"/>
                    <w:rPr>
                      <w:rFonts w:hint="default" w:eastAsia="宋体"/>
                      <w:lang w:val="en-US" w:eastAsia="zh-CN"/>
                    </w:rPr>
                  </w:pPr>
                  <w:r>
                    <w:t>900-</w:t>
                  </w:r>
                  <w:r>
                    <w:rPr>
                      <w:rFonts w:hint="eastAsia"/>
                      <w:lang w:val="en-US" w:eastAsia="zh-CN"/>
                    </w:rPr>
                    <w:t>014</w:t>
                  </w:r>
                  <w:r>
                    <w:t>-</w:t>
                  </w:r>
                  <w:r>
                    <w:rPr>
                      <w:rFonts w:hint="eastAsia"/>
                      <w:lang w:val="en-US" w:eastAsia="zh-CN"/>
                    </w:rPr>
                    <w:t>13</w:t>
                  </w:r>
                </w:p>
              </w:tc>
              <w:tc>
                <w:tcPr>
                  <w:tcW w:w="916" w:type="dxa"/>
                  <w:vMerge w:val="continue"/>
                  <w:tcMar>
                    <w:left w:w="57" w:type="dxa"/>
                    <w:right w:w="57" w:type="dxa"/>
                  </w:tcMar>
                  <w:vAlign w:val="center"/>
                </w:tcPr>
                <w:p>
                  <w:pPr>
                    <w:pStyle w:val="20"/>
                  </w:pPr>
                </w:p>
              </w:tc>
              <w:tc>
                <w:tcPr>
                  <w:tcW w:w="900" w:type="dxa"/>
                  <w:vMerge w:val="continue"/>
                  <w:tcMar>
                    <w:left w:w="57" w:type="dxa"/>
                    <w:right w:w="57" w:type="dxa"/>
                  </w:tcMar>
                  <w:vAlign w:val="center"/>
                </w:tcPr>
                <w:p>
                  <w:pPr>
                    <w:pStyle w:val="20"/>
                  </w:pPr>
                </w:p>
              </w:tc>
              <w:tc>
                <w:tcPr>
                  <w:tcW w:w="840" w:type="dxa"/>
                  <w:tcMar>
                    <w:left w:w="57" w:type="dxa"/>
                    <w:right w:w="57" w:type="dxa"/>
                  </w:tcMar>
                  <w:vAlign w:val="center"/>
                </w:tcPr>
                <w:p>
                  <w:pPr>
                    <w:pStyle w:val="20"/>
                  </w:pPr>
                  <w:r>
                    <w:rPr>
                      <w:rFonts w:hint="eastAsia"/>
                    </w:rPr>
                    <w:t>桶密封</w:t>
                  </w:r>
                </w:p>
              </w:tc>
              <w:tc>
                <w:tcPr>
                  <w:tcW w:w="701" w:type="dxa"/>
                  <w:vMerge w:val="continue"/>
                  <w:tcMar>
                    <w:left w:w="57" w:type="dxa"/>
                    <w:right w:w="57" w:type="dxa"/>
                  </w:tcMar>
                  <w:vAlign w:val="center"/>
                </w:tcPr>
                <w:p>
                  <w:pPr>
                    <w:pStyle w:val="20"/>
                  </w:pPr>
                </w:p>
              </w:tc>
              <w:tc>
                <w:tcPr>
                  <w:tcW w:w="768" w:type="dxa"/>
                  <w:vMerge w:val="continue"/>
                  <w:tcMar>
                    <w:left w:w="57" w:type="dxa"/>
                    <w:right w:w="57" w:type="dxa"/>
                  </w:tcMar>
                </w:tcPr>
                <w:p>
                  <w:pPr>
                    <w:pStyle w:val="2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jc w:val="center"/>
              </w:trPr>
              <w:tc>
                <w:tcPr>
                  <w:tcW w:w="472" w:type="dxa"/>
                  <w:tcMar>
                    <w:left w:w="57" w:type="dxa"/>
                    <w:right w:w="57" w:type="dxa"/>
                  </w:tcMar>
                  <w:vAlign w:val="center"/>
                </w:tcPr>
                <w:p>
                  <w:pPr>
                    <w:pStyle w:val="20"/>
                  </w:pPr>
                  <w:r>
                    <w:rPr>
                      <w:rFonts w:hint="eastAsia"/>
                    </w:rPr>
                    <w:t>3</w:t>
                  </w:r>
                </w:p>
              </w:tc>
              <w:tc>
                <w:tcPr>
                  <w:tcW w:w="474" w:type="dxa"/>
                  <w:vMerge w:val="continue"/>
                  <w:tcMar>
                    <w:left w:w="57" w:type="dxa"/>
                    <w:right w:w="57" w:type="dxa"/>
                  </w:tcMar>
                  <w:vAlign w:val="center"/>
                </w:tcPr>
                <w:p>
                  <w:pPr>
                    <w:pStyle w:val="20"/>
                  </w:pPr>
                </w:p>
              </w:tc>
              <w:tc>
                <w:tcPr>
                  <w:tcW w:w="1111" w:type="dxa"/>
                  <w:tcMar>
                    <w:left w:w="57" w:type="dxa"/>
                    <w:right w:w="57" w:type="dxa"/>
                  </w:tcMar>
                  <w:vAlign w:val="center"/>
                </w:tcPr>
                <w:p>
                  <w:pPr>
                    <w:pStyle w:val="20"/>
                    <w:rPr>
                      <w:rFonts w:hint="eastAsia" w:eastAsia="宋体"/>
                      <w:lang w:eastAsia="zh-CN"/>
                    </w:rPr>
                  </w:pPr>
                  <w:r>
                    <w:rPr>
                      <w:rFonts w:hint="eastAsia"/>
                      <w:lang w:val="en-US" w:eastAsia="zh-CN"/>
                    </w:rPr>
                    <w:t>废电路板</w:t>
                  </w:r>
                </w:p>
              </w:tc>
              <w:tc>
                <w:tcPr>
                  <w:tcW w:w="656" w:type="dxa"/>
                  <w:tcMar>
                    <w:left w:w="57" w:type="dxa"/>
                    <w:right w:w="57" w:type="dxa"/>
                  </w:tcMar>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HW49</w:t>
                  </w:r>
                </w:p>
              </w:tc>
              <w:tc>
                <w:tcPr>
                  <w:tcW w:w="1045" w:type="dxa"/>
                  <w:tcMar>
                    <w:left w:w="57" w:type="dxa"/>
                    <w:right w:w="57" w:type="dxa"/>
                  </w:tcMar>
                  <w:vAlign w:val="center"/>
                </w:tcPr>
                <w:p>
                  <w:pPr>
                    <w:pStyle w:val="20"/>
                    <w:ind w:firstLine="0" w:firstLineChars="0"/>
                    <w:rPr>
                      <w:rFonts w:ascii="Times New Roman" w:hAnsi="Times New Roman" w:eastAsia="宋体" w:cs="Times New Roman"/>
                      <w:color w:val="000000"/>
                      <w:kern w:val="2"/>
                      <w:sz w:val="18"/>
                      <w:szCs w:val="24"/>
                      <w:lang w:val="en-US" w:eastAsia="zh-CN" w:bidi="ar-SA"/>
                    </w:rPr>
                  </w:pPr>
                  <w:r>
                    <w:rPr>
                      <w:rFonts w:hint="eastAsia"/>
                    </w:rPr>
                    <w:t>900-0</w:t>
                  </w:r>
                  <w:r>
                    <w:rPr>
                      <w:rFonts w:hint="eastAsia"/>
                      <w:lang w:val="en-US" w:eastAsia="zh-CN"/>
                    </w:rPr>
                    <w:t>45</w:t>
                  </w:r>
                  <w:r>
                    <w:rPr>
                      <w:rFonts w:hint="eastAsia"/>
                    </w:rPr>
                    <w:t>-49</w:t>
                  </w:r>
                </w:p>
              </w:tc>
              <w:tc>
                <w:tcPr>
                  <w:tcW w:w="916" w:type="dxa"/>
                  <w:vMerge w:val="continue"/>
                  <w:tcMar>
                    <w:left w:w="57" w:type="dxa"/>
                    <w:right w:w="57" w:type="dxa"/>
                  </w:tcMar>
                  <w:vAlign w:val="center"/>
                </w:tcPr>
                <w:p>
                  <w:pPr>
                    <w:pStyle w:val="20"/>
                  </w:pPr>
                </w:p>
              </w:tc>
              <w:tc>
                <w:tcPr>
                  <w:tcW w:w="900" w:type="dxa"/>
                  <w:vMerge w:val="continue"/>
                  <w:tcMar>
                    <w:left w:w="57" w:type="dxa"/>
                    <w:right w:w="57" w:type="dxa"/>
                  </w:tcMar>
                  <w:vAlign w:val="center"/>
                </w:tcPr>
                <w:p>
                  <w:pPr>
                    <w:pStyle w:val="20"/>
                  </w:pPr>
                </w:p>
              </w:tc>
              <w:tc>
                <w:tcPr>
                  <w:tcW w:w="840" w:type="dxa"/>
                  <w:tcMar>
                    <w:left w:w="57" w:type="dxa"/>
                    <w:right w:w="57" w:type="dxa"/>
                  </w:tcMar>
                  <w:vAlign w:val="center"/>
                </w:tcPr>
                <w:p>
                  <w:pPr>
                    <w:pStyle w:val="20"/>
                  </w:pPr>
                  <w:r>
                    <w:rPr>
                      <w:rFonts w:hint="eastAsia"/>
                    </w:rPr>
                    <w:t>密封袋装</w:t>
                  </w:r>
                </w:p>
              </w:tc>
              <w:tc>
                <w:tcPr>
                  <w:tcW w:w="701" w:type="dxa"/>
                  <w:vMerge w:val="continue"/>
                  <w:tcMar>
                    <w:left w:w="57" w:type="dxa"/>
                    <w:right w:w="57" w:type="dxa"/>
                  </w:tcMar>
                  <w:vAlign w:val="center"/>
                </w:tcPr>
                <w:p>
                  <w:pPr>
                    <w:pStyle w:val="20"/>
                  </w:pPr>
                </w:p>
              </w:tc>
              <w:tc>
                <w:tcPr>
                  <w:tcW w:w="768" w:type="dxa"/>
                  <w:vMerge w:val="continue"/>
                  <w:tcMar>
                    <w:left w:w="57" w:type="dxa"/>
                    <w:right w:w="57" w:type="dxa"/>
                  </w:tcMar>
                </w:tcPr>
                <w:p>
                  <w:pPr>
                    <w:pStyle w:val="20"/>
                  </w:pPr>
                </w:p>
              </w:tc>
            </w:tr>
          </w:tbl>
          <w:p>
            <w:pPr>
              <w:ind w:firstLine="420"/>
            </w:pPr>
            <w:r>
              <w:rPr>
                <w:rFonts w:hint="eastAsia"/>
              </w:rPr>
              <w:t>根据工程分析可知，本项目年最大产生危废量约</w:t>
            </w:r>
            <w:r>
              <w:rPr>
                <w:rFonts w:hint="eastAsia"/>
                <w:lang w:val="en-US" w:eastAsia="zh-CN"/>
              </w:rPr>
              <w:t>5.464</w:t>
            </w:r>
            <w:r>
              <w:rPr>
                <w:rFonts w:hint="eastAsia"/>
              </w:rPr>
              <w:t>吨，现有项目年最大产生危废量为</w:t>
            </w:r>
            <w:r>
              <w:rPr>
                <w:rFonts w:hint="eastAsia"/>
                <w:lang w:val="en-US" w:eastAsia="zh-CN"/>
              </w:rPr>
              <w:t>25.5</w:t>
            </w:r>
            <w:r>
              <w:rPr>
                <w:rFonts w:hint="eastAsia"/>
              </w:rPr>
              <w:t>吨</w:t>
            </w:r>
            <w:r>
              <w:rPr>
                <w:rFonts w:hint="eastAsia"/>
                <w:lang w:eastAsia="zh-CN"/>
              </w:rPr>
              <w:t>，</w:t>
            </w:r>
            <w:r>
              <w:rPr>
                <w:rFonts w:hint="eastAsia"/>
              </w:rPr>
              <w:t>一般情况下，危险废物每个月委托清运处置一次，</w:t>
            </w:r>
            <w:r>
              <w:rPr>
                <w:rFonts w:hint="eastAsia"/>
                <w:lang w:val="en-US" w:eastAsia="zh-CN"/>
              </w:rPr>
              <w:t>则</w:t>
            </w:r>
            <w:r>
              <w:rPr>
                <w:rFonts w:hint="eastAsia"/>
              </w:rPr>
              <w:t>全厂危废最大暂存量则为</w:t>
            </w:r>
            <w:r>
              <w:rPr>
                <w:rFonts w:hint="eastAsia"/>
                <w:lang w:val="en-US" w:eastAsia="zh-CN"/>
              </w:rPr>
              <w:t>2.58</w:t>
            </w:r>
            <w:r>
              <w:rPr>
                <w:rFonts w:hint="eastAsia"/>
              </w:rPr>
              <w:t>吨。本项目危废仓库设计储存能力为</w:t>
            </w:r>
            <w:r>
              <w:rPr>
                <w:rFonts w:hint="eastAsia"/>
                <w:lang w:val="en-US" w:eastAsia="zh-CN"/>
              </w:rPr>
              <w:t>50</w:t>
            </w:r>
            <w:r>
              <w:rPr>
                <w:rFonts w:hint="eastAsia"/>
              </w:rPr>
              <w:t>吨，因此，本项目</w:t>
            </w:r>
            <w:r>
              <w:rPr>
                <w:rFonts w:hint="eastAsia"/>
                <w:lang w:val="en-US" w:eastAsia="zh-CN"/>
              </w:rPr>
              <w:t>实施后</w:t>
            </w:r>
            <w:r>
              <w:rPr>
                <w:rFonts w:hint="eastAsia"/>
              </w:rPr>
              <w:t>危废仓库储存能力可满足要求。当危废仓库不能满足贮存条件时，要求企业立即联系危废处置单位清运处置。</w:t>
            </w:r>
          </w:p>
          <w:p>
            <w:pPr>
              <w:ind w:firstLine="420"/>
            </w:pPr>
            <w:r>
              <w:rPr>
                <w:rFonts w:hint="eastAsia"/>
              </w:rPr>
              <w:t>另外企业应当完善固废管理责任制，其法定代表人为第一责任人，切实履行职责，防止环境污染事故。企业应当对内部从事危险固废收集、运送、贮存、处置等工作的人员和管理人员，进行相关法律和专业技术、安全防护以及紧急处理等知识的培训。应当采取有效的职业卫生防护措施，为从事危废收集、运送、贮存、处置等工作的人员和管理人员，配备必要的防护用品，定期进行健康检查。应当依照《中华人民共和国固体废物污染环境防治法》、《危险废物转移管理办法》等文件的规定，执行危险废物转移联单管理制度，对危废进行登记，登记内容应当包括危废的来源、种类、重量或者数量、交接时间、处置方法、最终去向以及经办人签名等项目，登记资料至少保存</w:t>
            </w:r>
            <w:r>
              <w:t>5</w:t>
            </w:r>
            <w:r>
              <w:rPr>
                <w:rFonts w:hint="eastAsia"/>
              </w:rPr>
              <w:t>年。</w:t>
            </w:r>
          </w:p>
          <w:p>
            <w:pPr>
              <w:pStyle w:val="5"/>
              <w:spacing w:before="0"/>
              <w:rPr>
                <w:rFonts w:hint="default"/>
                <w:bCs w:val="0"/>
                <w:spacing w:val="-10"/>
              </w:rPr>
            </w:pPr>
            <w:r>
              <w:rPr>
                <w:bCs w:val="0"/>
              </w:rPr>
              <w:t>4.6运营期</w:t>
            </w:r>
            <w:r>
              <w:rPr>
                <w:bCs w:val="0"/>
                <w:spacing w:val="-10"/>
              </w:rPr>
              <w:t>地下水、土壤</w:t>
            </w:r>
            <w:r>
              <w:rPr>
                <w:bCs w:val="0"/>
              </w:rPr>
              <w:t>环境影响和保护措施</w:t>
            </w:r>
          </w:p>
          <w:p>
            <w:pPr>
              <w:pStyle w:val="6"/>
            </w:pPr>
            <w:r>
              <w:t>4.6.1地下水、土壤环境影响因素识别</w:t>
            </w:r>
          </w:p>
          <w:p>
            <w:pPr>
              <w:pStyle w:val="2"/>
              <w:adjustRightInd w:val="0"/>
              <w:ind w:firstLine="422"/>
              <w:rPr>
                <w:rFonts w:ascii="Times New Roman" w:hAnsi="Times New Roman"/>
                <w:b/>
                <w:bCs/>
              </w:rPr>
            </w:pPr>
            <w:r>
              <w:rPr>
                <w:rFonts w:hint="eastAsia" w:ascii="Times New Roman" w:hAnsi="Times New Roman"/>
                <w:b/>
                <w:bCs/>
              </w:rPr>
              <w:t>1、污染源和污染物类型</w:t>
            </w:r>
          </w:p>
          <w:p>
            <w:pPr>
              <w:ind w:firstLine="420"/>
              <w:rPr>
                <w:b/>
                <w:bCs/>
              </w:rPr>
            </w:pPr>
            <w:r>
              <w:rPr>
                <w:rFonts w:hint="eastAsia"/>
              </w:rPr>
              <w:t>本项目正常工况下不会对土壤、地下水环境造成影响，若发生泄漏时可能造成影响的污染源主要是生产车间、危废仓库、</w:t>
            </w:r>
            <w:r>
              <w:rPr>
                <w:rFonts w:hint="eastAsia"/>
                <w:lang w:val="en-US" w:eastAsia="zh-CN"/>
              </w:rPr>
              <w:t>污水站</w:t>
            </w:r>
            <w:r>
              <w:rPr>
                <w:rFonts w:hint="eastAsia"/>
              </w:rPr>
              <w:t>。</w:t>
            </w:r>
            <w:r>
              <w:t>本项目主要污染物为</w:t>
            </w:r>
            <w:r>
              <w:rPr>
                <w:rFonts w:hint="eastAsia"/>
              </w:rPr>
              <w:t>废水、废气</w:t>
            </w:r>
            <w:r>
              <w:t>和</w:t>
            </w:r>
            <w:r>
              <w:rPr>
                <w:rFonts w:hint="eastAsia"/>
              </w:rPr>
              <w:t>危险废物</w:t>
            </w:r>
            <w:r>
              <w:t>。</w:t>
            </w:r>
          </w:p>
          <w:p>
            <w:pPr>
              <w:pStyle w:val="2"/>
              <w:adjustRightInd w:val="0"/>
              <w:ind w:firstLine="422"/>
              <w:rPr>
                <w:rFonts w:ascii="Times New Roman" w:hAnsi="Times New Roman"/>
                <w:b/>
                <w:bCs/>
              </w:rPr>
            </w:pPr>
            <w:r>
              <w:rPr>
                <w:rFonts w:hint="eastAsia" w:ascii="Times New Roman" w:hAnsi="Times New Roman"/>
                <w:b/>
                <w:bCs/>
              </w:rPr>
              <w:t>2、影响途径分析</w:t>
            </w:r>
          </w:p>
          <w:p>
            <w:pPr>
              <w:ind w:firstLine="420"/>
            </w:pPr>
            <w:r>
              <w:rPr>
                <w:rFonts w:hint="eastAsia"/>
              </w:rPr>
              <w:t>根据分析，本项目土壤、地下水可能影响途径为大气沉降、地面漫流、垂直入渗。</w:t>
            </w:r>
          </w:p>
          <w:p>
            <w:pPr>
              <w:ind w:firstLine="420"/>
            </w:pPr>
            <w:r>
              <w:fldChar w:fldCharType="begin"/>
            </w:r>
            <w:r>
              <w:instrText xml:space="preserve">= 1 \* GB3</w:instrText>
            </w:r>
            <w:r>
              <w:fldChar w:fldCharType="separate"/>
            </w:r>
            <w:r>
              <w:t>①</w:t>
            </w:r>
            <w:r>
              <w:fldChar w:fldCharType="end"/>
            </w:r>
            <w:r>
              <w:t>本项目固废</w:t>
            </w:r>
            <w:r>
              <w:rPr>
                <w:rFonts w:hint="eastAsia"/>
              </w:rPr>
              <w:t>，为</w:t>
            </w:r>
            <w:r>
              <w:rPr>
                <w:rFonts w:hint="eastAsia"/>
                <w:lang w:val="en-US" w:eastAsia="zh-CN"/>
              </w:rPr>
              <w:t>不合格电芯、废胶纸、沾染化学品的废包装物、废胶、废电路板、废五金件、废线束、废包装材料、生活垃圾</w:t>
            </w:r>
            <w:r>
              <w:rPr>
                <w:rFonts w:hint="eastAsia"/>
              </w:rPr>
              <w:t>，正常情况下不会对土壤造成影响。</w:t>
            </w:r>
            <w:r>
              <w:t>若保存不当产生泄漏，可能进入外环境。</w:t>
            </w:r>
          </w:p>
          <w:p>
            <w:pPr>
              <w:ind w:firstLine="420"/>
            </w:pPr>
            <w:r>
              <w:t>②</w:t>
            </w:r>
            <w:r>
              <w:rPr>
                <w:rFonts w:hint="eastAsia"/>
                <w:lang w:val="en-US" w:eastAsia="zh-CN"/>
              </w:rPr>
              <w:t>本项目</w:t>
            </w:r>
            <w:r>
              <w:rPr>
                <w:rFonts w:hint="eastAsia"/>
              </w:rPr>
              <w:t>无生产废水，生活污水经化粪池处理后</w:t>
            </w:r>
            <w:r>
              <w:rPr>
                <w:rFonts w:hint="eastAsia"/>
                <w:lang w:val="en-US" w:eastAsia="zh-CN"/>
              </w:rPr>
              <w:t>进入现有项目污水站处理</w:t>
            </w:r>
            <w:r>
              <w:rPr>
                <w:rFonts w:hint="eastAsia"/>
              </w:rPr>
              <w:t>达标纳管排放，因此正常情况下不会因漫流对土壤造成影响。如果厂区废水处理管道防渗防漏措施不完善，则会导致废水经处理构筑物长期下渗进入土壤。</w:t>
            </w:r>
          </w:p>
          <w:p>
            <w:pPr>
              <w:ind w:firstLine="420"/>
            </w:pPr>
            <w:r>
              <w:t>③桶装</w:t>
            </w:r>
            <w:r>
              <w:rPr>
                <w:rFonts w:hint="eastAsia"/>
              </w:rPr>
              <w:t>化学品物</w:t>
            </w:r>
            <w:r>
              <w:t>料泄漏，防渗防漏措施不完善，则会导致</w:t>
            </w:r>
            <w:r>
              <w:rPr>
                <w:rFonts w:hint="eastAsia"/>
                <w:lang w:val="en-US" w:eastAsia="zh-CN"/>
              </w:rPr>
              <w:t>结构胶</w:t>
            </w:r>
            <w:r>
              <w:rPr>
                <w:rFonts w:hint="eastAsia"/>
              </w:rPr>
              <w:t>等渗漏进入土壤、地下水</w:t>
            </w:r>
            <w:r>
              <w:t>。根据设计，</w:t>
            </w:r>
            <w:r>
              <w:rPr>
                <w:rFonts w:hint="eastAsia"/>
              </w:rPr>
              <w:t>化学品应</w:t>
            </w:r>
            <w:r>
              <w:t>设置在单独的</w:t>
            </w:r>
            <w:r>
              <w:rPr>
                <w:rFonts w:hint="eastAsia"/>
              </w:rPr>
              <w:t>化学品储存区内</w:t>
            </w:r>
            <w:r>
              <w:t>，并按要求采用凝土构造及设置防渗层。</w:t>
            </w:r>
          </w:p>
          <w:p>
            <w:pPr>
              <w:ind w:firstLine="420"/>
            </w:pPr>
            <w:r>
              <w:fldChar w:fldCharType="begin"/>
            </w:r>
            <w:r>
              <w:instrText xml:space="preserve"> = 4 \* GB3 </w:instrText>
            </w:r>
            <w:r>
              <w:fldChar w:fldCharType="separate"/>
            </w:r>
            <w:r>
              <w:t>④</w:t>
            </w:r>
            <w:r>
              <w:fldChar w:fldCharType="end"/>
            </w:r>
            <w:r>
              <w:t>本项目周边主要为工业企业、道路及河流等，因此本项目</w:t>
            </w:r>
            <w:r>
              <w:rPr>
                <w:rFonts w:hint="eastAsia"/>
              </w:rPr>
              <w:t>非甲烷总烃等</w:t>
            </w:r>
            <w:r>
              <w:t>大气污染物沉降可能会对周边</w:t>
            </w:r>
            <w:r>
              <w:rPr>
                <w:rFonts w:hint="eastAsia"/>
              </w:rPr>
              <w:t>土壤、河流</w:t>
            </w:r>
            <w:r>
              <w:t>产生一定的影响。</w:t>
            </w:r>
          </w:p>
          <w:p>
            <w:pPr>
              <w:ind w:firstLine="420"/>
            </w:pPr>
            <w:r>
              <w:fldChar w:fldCharType="begin"/>
            </w:r>
            <w:r>
              <w:instrText xml:space="preserve"> = 5 \* GB3 </w:instrText>
            </w:r>
            <w:r>
              <w:fldChar w:fldCharType="separate"/>
            </w:r>
            <w:r>
              <w:t>⑤</w:t>
            </w:r>
            <w:r>
              <w:fldChar w:fldCharType="end"/>
            </w:r>
            <w:r>
              <w:t>服务期满后对</w:t>
            </w:r>
            <w:r>
              <w:rPr>
                <w:rFonts w:hint="eastAsia"/>
              </w:rPr>
              <w:t>土壤、地下水</w:t>
            </w:r>
            <w:r>
              <w:t>的影响主要为未及时清理</w:t>
            </w:r>
            <w:r>
              <w:rPr>
                <w:rFonts w:hint="eastAsia"/>
              </w:rPr>
              <w:t>生产车间、</w:t>
            </w:r>
            <w:r>
              <w:t>危废仓库</w:t>
            </w:r>
            <w:r>
              <w:rPr>
                <w:rFonts w:hint="eastAsia"/>
              </w:rPr>
              <w:t>和辅料仓库（化学品仓库）</w:t>
            </w:r>
            <w:r>
              <w:t>内遗留</w:t>
            </w:r>
            <w:r>
              <w:rPr>
                <w:rFonts w:hint="eastAsia"/>
              </w:rPr>
              <w:t>的危险物质</w:t>
            </w:r>
            <w:r>
              <w:t>，造成地面漫流或渗漏，继而影响周边</w:t>
            </w:r>
            <w:r>
              <w:rPr>
                <w:rFonts w:hint="eastAsia"/>
              </w:rPr>
              <w:t>地下水</w:t>
            </w:r>
            <w:r>
              <w:t>环境。</w:t>
            </w:r>
          </w:p>
          <w:p>
            <w:pPr>
              <w:ind w:firstLine="420"/>
            </w:pPr>
            <w:r>
              <w:rPr>
                <w:rFonts w:hint="eastAsia"/>
              </w:rPr>
              <w:t>本项目实施后企业</w:t>
            </w:r>
            <w:r>
              <w:t>地下水、土壤环境影响因素识别</w:t>
            </w:r>
            <w:r>
              <w:rPr>
                <w:rFonts w:hint="eastAsia"/>
              </w:rPr>
              <w:t>情况具体可见表4.6-1。</w:t>
            </w:r>
          </w:p>
          <w:p>
            <w:pPr>
              <w:ind w:firstLine="0" w:firstLineChars="0"/>
              <w:jc w:val="center"/>
              <w:rPr>
                <w:b/>
                <w:bCs/>
              </w:rPr>
            </w:pPr>
            <w:r>
              <w:rPr>
                <w:b/>
                <w:bCs/>
              </w:rPr>
              <w:t>表</w:t>
            </w:r>
            <w:r>
              <w:rPr>
                <w:rFonts w:hint="eastAsia"/>
                <w:b/>
                <w:bCs/>
              </w:rPr>
              <w:t>4.6-1  土壤、地下水</w:t>
            </w:r>
            <w:r>
              <w:rPr>
                <w:b/>
                <w:bCs/>
              </w:rPr>
              <w:t>环境影响源及影响因子识别表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1374"/>
              <w:gridCol w:w="1823"/>
              <w:gridCol w:w="1646"/>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202" w:type="pct"/>
                  <w:tcBorders>
                    <w:top w:val="single" w:color="auto" w:sz="4" w:space="0"/>
                    <w:left w:val="single" w:color="auto" w:sz="4" w:space="0"/>
                    <w:bottom w:val="single" w:color="auto" w:sz="4" w:space="0"/>
                    <w:right w:val="single" w:color="auto" w:sz="4" w:space="0"/>
                  </w:tcBorders>
                  <w:vAlign w:val="center"/>
                </w:tcPr>
                <w:p>
                  <w:pPr>
                    <w:pStyle w:val="20"/>
                  </w:pPr>
                  <w:r>
                    <w:t>污染源</w:t>
                  </w:r>
                </w:p>
              </w:tc>
              <w:tc>
                <w:tcPr>
                  <w:tcW w:w="870" w:type="pct"/>
                  <w:tcBorders>
                    <w:top w:val="single" w:color="auto" w:sz="4" w:space="0"/>
                    <w:left w:val="single" w:color="auto" w:sz="4" w:space="0"/>
                    <w:bottom w:val="single" w:color="auto" w:sz="4" w:space="0"/>
                    <w:right w:val="single" w:color="auto" w:sz="4" w:space="0"/>
                  </w:tcBorders>
                  <w:vAlign w:val="center"/>
                </w:tcPr>
                <w:p>
                  <w:pPr>
                    <w:pStyle w:val="20"/>
                  </w:pPr>
                  <w:r>
                    <w:t>工艺流程/节点</w:t>
                  </w:r>
                </w:p>
              </w:tc>
              <w:tc>
                <w:tcPr>
                  <w:tcW w:w="1155" w:type="pct"/>
                  <w:tcBorders>
                    <w:top w:val="single" w:color="auto" w:sz="4" w:space="0"/>
                    <w:left w:val="single" w:color="auto" w:sz="4" w:space="0"/>
                    <w:bottom w:val="single" w:color="auto" w:sz="4" w:space="0"/>
                    <w:right w:val="single" w:color="auto" w:sz="4" w:space="0"/>
                  </w:tcBorders>
                  <w:vAlign w:val="center"/>
                </w:tcPr>
                <w:p>
                  <w:pPr>
                    <w:pStyle w:val="20"/>
                  </w:pPr>
                  <w:r>
                    <w:t>污染途径</w:t>
                  </w:r>
                </w:p>
              </w:tc>
              <w:tc>
                <w:tcPr>
                  <w:tcW w:w="1043" w:type="pc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主要</w:t>
                  </w:r>
                  <w:r>
                    <w:t>污染物指标</w:t>
                  </w:r>
                </w:p>
              </w:tc>
              <w:tc>
                <w:tcPr>
                  <w:tcW w:w="728" w:type="pct"/>
                  <w:tcBorders>
                    <w:top w:val="single" w:color="auto" w:sz="4" w:space="0"/>
                    <w:left w:val="single" w:color="auto" w:sz="4" w:space="0"/>
                    <w:bottom w:val="single" w:color="auto" w:sz="4" w:space="0"/>
                    <w:right w:val="single" w:color="auto" w:sz="4" w:space="0"/>
                  </w:tcBorders>
                  <w:vAlign w:val="center"/>
                </w:tcPr>
                <w:p>
                  <w:pPr>
                    <w:pStyle w:val="20"/>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202" w:type="pct"/>
                  <w:tcBorders>
                    <w:top w:val="single" w:color="auto" w:sz="4" w:space="0"/>
                    <w:left w:val="single" w:color="auto" w:sz="4" w:space="0"/>
                    <w:bottom w:val="single" w:color="auto" w:sz="4" w:space="0"/>
                    <w:right w:val="single" w:color="auto" w:sz="4" w:space="0"/>
                  </w:tcBorders>
                  <w:vAlign w:val="center"/>
                </w:tcPr>
                <w:p>
                  <w:pPr>
                    <w:pStyle w:val="20"/>
                  </w:pPr>
                  <w:r>
                    <w:t>生产车间、废气治理设施区</w:t>
                  </w:r>
                </w:p>
              </w:tc>
              <w:tc>
                <w:tcPr>
                  <w:tcW w:w="870" w:type="pct"/>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涂胶废气、擦拭废气、打胶废气、焊接废气、污水站废气</w:t>
                  </w:r>
                </w:p>
              </w:tc>
              <w:tc>
                <w:tcPr>
                  <w:tcW w:w="1155" w:type="pct"/>
                  <w:tcBorders>
                    <w:top w:val="single" w:color="auto" w:sz="4" w:space="0"/>
                    <w:left w:val="single" w:color="auto" w:sz="4" w:space="0"/>
                    <w:bottom w:val="single" w:color="auto" w:sz="4" w:space="0"/>
                    <w:right w:val="single" w:color="auto" w:sz="4" w:space="0"/>
                  </w:tcBorders>
                  <w:vAlign w:val="center"/>
                </w:tcPr>
                <w:p>
                  <w:pPr>
                    <w:pStyle w:val="20"/>
                  </w:pPr>
                  <w:r>
                    <w:t>大气沉降</w:t>
                  </w:r>
                </w:p>
              </w:tc>
              <w:tc>
                <w:tcPr>
                  <w:tcW w:w="1043" w:type="pct"/>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rPr>
                    <w:t>非甲烷总烃</w:t>
                  </w:r>
                  <w:r>
                    <w:rPr>
                      <w:rFonts w:hint="eastAsia"/>
                      <w:lang w:eastAsia="zh-CN"/>
                    </w:rPr>
                    <w:t>、</w:t>
                  </w:r>
                  <w:r>
                    <w:rPr>
                      <w:rFonts w:hint="eastAsia"/>
                      <w:lang w:val="en-US" w:eastAsia="zh-CN"/>
                    </w:rPr>
                    <w:t>颗粒物</w:t>
                  </w:r>
                </w:p>
              </w:tc>
              <w:tc>
                <w:tcPr>
                  <w:tcW w:w="728" w:type="pct"/>
                  <w:tcBorders>
                    <w:top w:val="single" w:color="auto" w:sz="4" w:space="0"/>
                    <w:left w:val="single" w:color="auto" w:sz="4" w:space="0"/>
                    <w:bottom w:val="single" w:color="auto" w:sz="4" w:space="0"/>
                    <w:right w:val="single" w:color="auto" w:sz="4" w:space="0"/>
                  </w:tcBorders>
                  <w:vAlign w:val="center"/>
                </w:tcPr>
                <w:p>
                  <w:pPr>
                    <w:pStyle w:val="20"/>
                  </w:pPr>
                  <w:r>
                    <w:t>正常、连续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202" w:type="pct"/>
                  <w:tcBorders>
                    <w:top w:val="single" w:color="auto" w:sz="4" w:space="0"/>
                    <w:left w:val="single" w:color="auto" w:sz="4" w:space="0"/>
                    <w:right w:val="single" w:color="auto" w:sz="4" w:space="0"/>
                  </w:tcBorders>
                  <w:vAlign w:val="center"/>
                </w:tcPr>
                <w:p>
                  <w:pPr>
                    <w:pStyle w:val="20"/>
                    <w:rPr>
                      <w:rFonts w:hint="default" w:eastAsia="宋体"/>
                      <w:lang w:val="en-US" w:eastAsia="zh-CN"/>
                    </w:rPr>
                  </w:pPr>
                  <w:r>
                    <w:rPr>
                      <w:rFonts w:hint="eastAsia"/>
                    </w:rPr>
                    <w:t>厂区污水管道、</w:t>
                  </w:r>
                  <w:r>
                    <w:rPr>
                      <w:rFonts w:hint="eastAsia"/>
                      <w:lang w:val="en-US" w:eastAsia="zh-CN"/>
                    </w:rPr>
                    <w:t>污水处理设施</w:t>
                  </w:r>
                </w:p>
              </w:tc>
              <w:tc>
                <w:tcPr>
                  <w:tcW w:w="870" w:type="pct"/>
                  <w:tcBorders>
                    <w:top w:val="single" w:color="auto" w:sz="4" w:space="0"/>
                    <w:left w:val="single" w:color="auto" w:sz="4" w:space="0"/>
                    <w:right w:val="single" w:color="auto" w:sz="4" w:space="0"/>
                  </w:tcBorders>
                  <w:vAlign w:val="center"/>
                </w:tcPr>
                <w:p>
                  <w:pPr>
                    <w:pStyle w:val="20"/>
                  </w:pPr>
                  <w:r>
                    <w:t>废水处理</w:t>
                  </w:r>
                </w:p>
              </w:tc>
              <w:tc>
                <w:tcPr>
                  <w:tcW w:w="1155" w:type="pct"/>
                  <w:tcBorders>
                    <w:top w:val="single" w:color="auto" w:sz="4" w:space="0"/>
                    <w:left w:val="single" w:color="auto" w:sz="4" w:space="0"/>
                    <w:bottom w:val="single" w:color="auto" w:sz="4" w:space="0"/>
                    <w:right w:val="single" w:color="auto" w:sz="4" w:space="0"/>
                  </w:tcBorders>
                  <w:vAlign w:val="center"/>
                </w:tcPr>
                <w:p>
                  <w:pPr>
                    <w:pStyle w:val="20"/>
                  </w:pPr>
                  <w:r>
                    <w:t>地面漫流</w:t>
                  </w:r>
                  <w:r>
                    <w:rPr>
                      <w:rFonts w:hint="eastAsia"/>
                    </w:rPr>
                    <w:t>、垂直入渗</w:t>
                  </w:r>
                </w:p>
              </w:tc>
              <w:tc>
                <w:tcPr>
                  <w:tcW w:w="1043" w:type="pct"/>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rPr>
                    <w:t>氨氮、</w:t>
                  </w:r>
                  <w:r>
                    <w:t>COD</w:t>
                  </w:r>
                  <w:r>
                    <w:rPr>
                      <w:rFonts w:hint="eastAsia"/>
                      <w:lang w:val="en-US" w:eastAsia="zh-CN"/>
                    </w:rPr>
                    <w:t>cr等</w:t>
                  </w:r>
                </w:p>
              </w:tc>
              <w:tc>
                <w:tcPr>
                  <w:tcW w:w="728" w:type="pct"/>
                  <w:tcBorders>
                    <w:top w:val="single" w:color="auto" w:sz="4" w:space="0"/>
                    <w:left w:val="single" w:color="auto" w:sz="4" w:space="0"/>
                    <w:bottom w:val="single" w:color="auto" w:sz="4" w:space="0"/>
                    <w:right w:val="single" w:color="auto" w:sz="4" w:space="0"/>
                  </w:tcBorders>
                  <w:vAlign w:val="center"/>
                </w:tcPr>
                <w:p>
                  <w:pPr>
                    <w:pStyle w:val="20"/>
                  </w:pPr>
                  <w:r>
                    <w:t>事故、间断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202" w:type="pct"/>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化学品、危险废物</w:t>
                  </w:r>
                  <w:r>
                    <w:t>储存</w:t>
                  </w:r>
                </w:p>
              </w:tc>
              <w:tc>
                <w:tcPr>
                  <w:tcW w:w="870" w:type="pct"/>
                  <w:tcBorders>
                    <w:top w:val="single" w:color="auto" w:sz="4" w:space="0"/>
                    <w:left w:val="single" w:color="auto" w:sz="4" w:space="0"/>
                    <w:bottom w:val="single" w:color="auto" w:sz="4" w:space="0"/>
                    <w:right w:val="single" w:color="auto" w:sz="4" w:space="0"/>
                  </w:tcBorders>
                  <w:vAlign w:val="center"/>
                </w:tcPr>
                <w:p>
                  <w:pPr>
                    <w:pStyle w:val="20"/>
                  </w:pPr>
                  <w:r>
                    <w:t>仓储</w:t>
                  </w:r>
                </w:p>
              </w:tc>
              <w:tc>
                <w:tcPr>
                  <w:tcW w:w="1155" w:type="pct"/>
                  <w:tcBorders>
                    <w:top w:val="single" w:color="auto" w:sz="4" w:space="0"/>
                    <w:left w:val="single" w:color="auto" w:sz="4" w:space="0"/>
                    <w:bottom w:val="single" w:color="auto" w:sz="4" w:space="0"/>
                    <w:right w:val="single" w:color="auto" w:sz="4" w:space="0"/>
                  </w:tcBorders>
                  <w:vAlign w:val="center"/>
                </w:tcPr>
                <w:p>
                  <w:pPr>
                    <w:pStyle w:val="20"/>
                  </w:pPr>
                  <w:r>
                    <w:t>地面漫流</w:t>
                  </w:r>
                  <w:r>
                    <w:rPr>
                      <w:rFonts w:hint="eastAsia"/>
                    </w:rPr>
                    <w:t>、垂直入渗</w:t>
                  </w:r>
                </w:p>
              </w:tc>
              <w:tc>
                <w:tcPr>
                  <w:tcW w:w="1043" w:type="pct"/>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eastAsia="zh-CN"/>
                    </w:rPr>
                  </w:pPr>
                  <w:r>
                    <w:rPr>
                      <w:rFonts w:hint="eastAsia"/>
                    </w:rPr>
                    <w:t>氨氮、</w:t>
                  </w:r>
                  <w:r>
                    <w:t>COD</w:t>
                  </w:r>
                  <w:r>
                    <w:rPr>
                      <w:rFonts w:hint="eastAsia"/>
                      <w:lang w:val="en-US" w:eastAsia="zh-CN"/>
                    </w:rPr>
                    <w:t>cr等</w:t>
                  </w:r>
                </w:p>
              </w:tc>
              <w:tc>
                <w:tcPr>
                  <w:tcW w:w="728" w:type="pct"/>
                  <w:tcBorders>
                    <w:top w:val="single" w:color="auto" w:sz="4" w:space="0"/>
                    <w:left w:val="single" w:color="auto" w:sz="4" w:space="0"/>
                    <w:bottom w:val="single" w:color="auto" w:sz="4" w:space="0"/>
                    <w:right w:val="single" w:color="auto" w:sz="4" w:space="0"/>
                  </w:tcBorders>
                  <w:vAlign w:val="center"/>
                </w:tcPr>
                <w:p>
                  <w:pPr>
                    <w:pStyle w:val="20"/>
                  </w:pPr>
                  <w:r>
                    <w:t>事故、间断</w:t>
                  </w:r>
                </w:p>
              </w:tc>
            </w:tr>
          </w:tbl>
          <w:p>
            <w:pPr>
              <w:pStyle w:val="6"/>
              <w:rPr>
                <w:rFonts w:hint="default"/>
              </w:rPr>
            </w:pPr>
            <w:r>
              <w:t>4.6.2土壤及地下水污染防治措施</w:t>
            </w:r>
          </w:p>
          <w:p>
            <w:pPr>
              <w:ind w:firstLine="420"/>
              <w:rPr>
                <w:rFonts w:hint="eastAsia"/>
              </w:rPr>
            </w:pPr>
            <w:r>
              <w:rPr>
                <w:rFonts w:hint="eastAsia"/>
              </w:rPr>
              <w:t>地下水、土壤污染防治主要是以预防为主，防治结合。</w:t>
            </w:r>
          </w:p>
          <w:p>
            <w:pPr>
              <w:ind w:firstLine="420"/>
              <w:rPr>
                <w:rFonts w:hint="eastAsia"/>
              </w:rPr>
            </w:pPr>
            <w:r>
              <w:rPr>
                <w:rFonts w:hint="eastAsia"/>
                <w:lang w:val="en-US" w:eastAsia="zh-CN"/>
              </w:rPr>
              <w:t>本</w:t>
            </w:r>
            <w:r>
              <w:rPr>
                <w:rFonts w:hint="eastAsia"/>
              </w:rPr>
              <w:t>项目不涉及重金属、持久难降解有机污染物排放。正常生产工况下，项目车间地面均硬化及设置防渗措施，不存在地下水、土壤污染途径。但在非正常工况、事故情况下(如危废间地面破裂、污水站收集池发生破裂等)，可能造成污染物垂直渗入土壤、地下水，从而造成污染。</w:t>
            </w:r>
          </w:p>
          <w:p>
            <w:pPr>
              <w:ind w:firstLine="420"/>
              <w:rPr>
                <w:rFonts w:hint="eastAsia"/>
              </w:rPr>
            </w:pPr>
            <w:r>
              <w:rPr>
                <w:rFonts w:hint="eastAsia"/>
              </w:rPr>
              <w:t>（1）大气沉降防治措施</w:t>
            </w:r>
          </w:p>
          <w:p>
            <w:pPr>
              <w:ind w:firstLine="420"/>
              <w:rPr>
                <w:rFonts w:hint="eastAsia"/>
              </w:rPr>
            </w:pPr>
            <w:r>
              <w:rPr>
                <w:rFonts w:hint="eastAsia"/>
              </w:rPr>
              <w:t>本项目排放的大气污染物主要为VOCs、颗粒物，不涉及重金属排放。在本项目落实各项废气治理措施后，本项目废气污染物排放贡献浓度不大，经沉降进入土壤环境的输入量较小，在土壤吸附、络合、沉淀及阻滞作用下，污染物迁移速度缓慢，极少向下层土壤迁移，故正常情况下本项目废气污染物大气沉降环境对土壤环境影响较小。</w:t>
            </w:r>
          </w:p>
          <w:p>
            <w:pPr>
              <w:ind w:firstLine="420"/>
              <w:rPr>
                <w:rFonts w:hint="eastAsia"/>
              </w:rPr>
            </w:pPr>
            <w:r>
              <w:rPr>
                <w:rFonts w:hint="eastAsia"/>
              </w:rPr>
              <w:t>同时，建议企业加强绿化，在厂区绿地范围内种植对有机废气有较强吸附降解能力的植物，可一定程度减少因废气污染物大气沉降带来的土壤污染。</w:t>
            </w:r>
          </w:p>
          <w:p>
            <w:pPr>
              <w:ind w:firstLine="420"/>
              <w:rPr>
                <w:rFonts w:hint="eastAsia"/>
              </w:rPr>
            </w:pPr>
            <w:r>
              <w:rPr>
                <w:rFonts w:hint="eastAsia"/>
              </w:rPr>
              <w:t>（2）地面漫流防治措施</w:t>
            </w:r>
          </w:p>
          <w:p>
            <w:pPr>
              <w:ind w:firstLine="420"/>
              <w:rPr>
                <w:rFonts w:hint="eastAsia"/>
              </w:rPr>
            </w:pPr>
            <w:r>
              <w:rPr>
                <w:rFonts w:hint="eastAsia"/>
              </w:rPr>
              <w:t>涉及地面漫流途径需设三级防控。</w:t>
            </w:r>
          </w:p>
          <w:p>
            <w:pPr>
              <w:ind w:firstLine="420"/>
              <w:rPr>
                <w:rFonts w:hint="eastAsia"/>
              </w:rPr>
            </w:pPr>
            <w:r>
              <w:rPr>
                <w:rFonts w:hint="eastAsia"/>
              </w:rPr>
              <w:t>一级防控：在生产车间（主要是储能电芯厂房、研发及中试车间、NMP 精馏回收装置区）、污水收集池、罐区、电解液储仓等处按规范设置围堰、防火堤，构筑生产过程环境安全的第一层防控网，使泄漏物料进入处理系统，防止污染雨水和轻微事故造成的环境污染；</w:t>
            </w:r>
          </w:p>
          <w:p>
            <w:pPr>
              <w:ind w:firstLine="420"/>
              <w:rPr>
                <w:rFonts w:hint="eastAsia"/>
              </w:rPr>
            </w:pPr>
            <w:r>
              <w:rPr>
                <w:rFonts w:hint="eastAsia"/>
              </w:rPr>
              <w:t>二级防控：在罐区及装置区等易集中产生污染物的部位设置足够容量的事故缓冲池级防控并设切断阀门等，将污染控制在厂内，防止较大生产事故泄露物料和消防废水造成的环境污染；</w:t>
            </w:r>
          </w:p>
          <w:p>
            <w:pPr>
              <w:ind w:firstLine="420"/>
              <w:rPr>
                <w:rFonts w:hint="eastAsia"/>
              </w:rPr>
            </w:pPr>
            <w:r>
              <w:rPr>
                <w:rFonts w:hint="eastAsia"/>
              </w:rPr>
              <w:t>三级防控：在厂区内设置足够容量的事故应急池，作为事故状态下的废水废液储存和调控手段，并结合初期雨水池，将污染物控制在厂区内，防止重大事故泄漏物料和污染消防水造成的环境污染。</w:t>
            </w:r>
          </w:p>
          <w:p>
            <w:pPr>
              <w:ind w:firstLine="420"/>
              <w:rPr>
                <w:rFonts w:hint="eastAsia"/>
              </w:rPr>
            </w:pPr>
            <w:r>
              <w:rPr>
                <w:rFonts w:hint="eastAsia"/>
              </w:rPr>
              <w:t xml:space="preserve">本项目厂区内实施雨污分流，生产过程产生的废水均经厂区污水处理设施处理后达标纳管排放，仅后期清洁雨水经厂区雨水口排入周围排水渠内，且雨排口设置切换阀，一旦水质污染即关闭排放口，并将污染雨水送至污水处理站处理。同时厂区内设置一个 </w:t>
            </w:r>
            <w:r>
              <w:rPr>
                <w:rFonts w:hint="eastAsia"/>
                <w:lang w:val="en-US" w:eastAsia="zh-CN"/>
              </w:rPr>
              <w:t>900</w:t>
            </w:r>
            <w:r>
              <w:rPr>
                <w:rFonts w:hint="eastAsia"/>
              </w:rPr>
              <w:t>m</w:t>
            </w:r>
            <w:r>
              <w:rPr>
                <w:rFonts w:hint="eastAsia"/>
                <w:vertAlign w:val="superscript"/>
              </w:rPr>
              <w:t>3</w:t>
            </w:r>
            <w:r>
              <w:rPr>
                <w:rFonts w:hint="eastAsia"/>
              </w:rPr>
              <w:t>的</w:t>
            </w:r>
            <w:r>
              <w:rPr>
                <w:rFonts w:hint="eastAsia"/>
                <w:lang w:val="en-US" w:eastAsia="zh-CN"/>
              </w:rPr>
              <w:t>初期雨水池（兼顾应急池）</w:t>
            </w:r>
            <w:r>
              <w:rPr>
                <w:rFonts w:hint="eastAsia"/>
              </w:rPr>
              <w:t>，对事故废水进行收集并送至污水处理站处理后纳管排放。故正常情况下本项目废水污染物经地面漫流对土壤环境影响较小。</w:t>
            </w:r>
          </w:p>
          <w:p>
            <w:pPr>
              <w:ind w:firstLine="420"/>
              <w:rPr>
                <w:rFonts w:hint="eastAsia"/>
              </w:rPr>
            </w:pPr>
            <w:r>
              <w:rPr>
                <w:rFonts w:hint="eastAsia"/>
              </w:rPr>
              <w:t>（3）垂直入渗防治措施</w:t>
            </w:r>
          </w:p>
          <w:p>
            <w:pPr>
              <w:ind w:firstLine="420"/>
              <w:rPr>
                <w:rFonts w:hint="eastAsia"/>
              </w:rPr>
            </w:pPr>
            <w:r>
              <w:rPr>
                <w:rFonts w:hint="eastAsia"/>
              </w:rPr>
              <w:t>①防渗区域划分及防渗要求</w:t>
            </w:r>
          </w:p>
          <w:p>
            <w:pPr>
              <w:ind w:firstLine="420"/>
              <w:rPr>
                <w:rFonts w:hint="eastAsia"/>
              </w:rPr>
            </w:pPr>
            <w:r>
              <w:rPr>
                <w:rFonts w:hint="eastAsia"/>
              </w:rPr>
              <w:t>针对</w:t>
            </w:r>
            <w:r>
              <w:rPr>
                <w:rFonts w:hint="eastAsia"/>
                <w:lang w:val="en-US" w:eastAsia="zh-CN"/>
              </w:rPr>
              <w:t>企业全厂</w:t>
            </w:r>
            <w:r>
              <w:rPr>
                <w:rFonts w:hint="eastAsia"/>
              </w:rPr>
              <w:t>各生产单元、储罐区、危废仓库、污水处理设施等易污染区域可能因物料泄漏造成下渗污染问题，本项目应按照“源头控制、末端防治、污染监控、应急响应”相结合的原则，从污染物的产生、入渗、扩散、应急响应全方位进行控制。项目按照《石油化工工程防渗技术规范》 (GB/T50934-2013)、《环境影响评价技术导则地下水环境》 (HJ610-2016)中的要求，根据场地特性和项目特征，制定分区防渗方案。</w:t>
            </w:r>
          </w:p>
          <w:p>
            <w:pPr>
              <w:ind w:firstLine="420"/>
            </w:pPr>
            <w:r>
              <w:rPr>
                <w:rFonts w:hint="eastAsia"/>
              </w:rPr>
              <w:t>将储能电芯厂房、研发及中试车间、NMP 精馏回收装置区、储罐区、电解液仓、事故应急池、危废仓库、污水处理站、理化实验室的危险原料储存间等易污染区域作为重点防渗区，将其他生产区域如模组装配厂房、系统组装厂房作为一般防渗区，办公楼、食堂、云中心、成品仓、一般原材料仓库等区域属于无污染区，作为简单防渗区，进行一般地面硬化处理，具体分区防渗情况见下表以及附图：</w:t>
            </w:r>
          </w:p>
          <w:p>
            <w:pPr>
              <w:spacing w:line="240" w:lineRule="auto"/>
              <w:ind w:firstLine="0" w:firstLineChars="0"/>
              <w:jc w:val="center"/>
              <w:rPr>
                <w:bCs/>
              </w:rPr>
            </w:pPr>
            <w:r>
              <w:rPr>
                <w:bCs/>
              </w:rPr>
              <w:object>
                <v:shape id="_x0000_i1031" o:spt="75" type="#_x0000_t75" style="height:256.45pt;width:394.45pt;" o:ole="t" filled="f" o:preferrelative="t" stroked="t" coordsize="21600,21600">
                  <v:path/>
                  <v:fill on="f" focussize="0,0"/>
                  <v:stroke weight="1pt" color="#000000"/>
                  <v:imagedata r:id="rId57" o:title=""/>
                  <o:lock v:ext="edit" aspectratio="f"/>
                  <w10:wrap type="none"/>
                  <w10:anchorlock/>
                </v:shape>
                <o:OLEObject Type="Embed" ProgID="Visio.Drawing.15" ShapeID="_x0000_i1031" DrawAspect="Content" ObjectID="_1468075731" r:id="rId56">
                  <o:LockedField>false</o:LockedField>
                </o:OLEObject>
              </w:object>
            </w:r>
          </w:p>
          <w:p>
            <w:pPr>
              <w:spacing w:line="240" w:lineRule="auto"/>
              <w:ind w:firstLine="0" w:firstLineChars="0"/>
              <w:jc w:val="center"/>
              <w:rPr>
                <w:b/>
                <w:szCs w:val="18"/>
              </w:rPr>
            </w:pPr>
            <w:r>
              <w:rPr>
                <w:b/>
                <w:szCs w:val="18"/>
              </w:rPr>
              <w:t>图</w:t>
            </w:r>
            <w:r>
              <w:rPr>
                <w:rFonts w:hint="eastAsia"/>
                <w:b/>
                <w:szCs w:val="18"/>
              </w:rPr>
              <w:t>4.6-1</w:t>
            </w:r>
            <w:r>
              <w:rPr>
                <w:b/>
                <w:szCs w:val="18"/>
              </w:rPr>
              <w:t xml:space="preserve">  本项目</w:t>
            </w:r>
            <w:r>
              <w:rPr>
                <w:rFonts w:hint="eastAsia"/>
                <w:b/>
                <w:szCs w:val="18"/>
                <w:lang w:val="en-US" w:eastAsia="zh-CN"/>
              </w:rPr>
              <w:t>涉及区域</w:t>
            </w:r>
            <w:r>
              <w:rPr>
                <w:b/>
                <w:szCs w:val="18"/>
              </w:rPr>
              <w:t>分区防渗图</w:t>
            </w:r>
          </w:p>
          <w:p>
            <w:pPr>
              <w:adjustRightInd/>
              <w:ind w:firstLine="0" w:firstLineChars="0"/>
              <w:jc w:val="center"/>
              <w:rPr>
                <w:b/>
                <w:bCs/>
              </w:rPr>
            </w:pPr>
            <w:r>
              <w:rPr>
                <w:b/>
                <w:bCs/>
              </w:rPr>
              <w:t>表</w:t>
            </w:r>
            <w:r>
              <w:rPr>
                <w:rFonts w:hint="eastAsia"/>
                <w:b/>
                <w:bCs/>
              </w:rPr>
              <w:t xml:space="preserve">4.6-2  </w:t>
            </w:r>
            <w:r>
              <w:rPr>
                <w:b/>
                <w:bCs/>
              </w:rPr>
              <w:t>污染区划分及防渗要求</w:t>
            </w:r>
          </w:p>
          <w:tbl>
            <w:tblPr>
              <w:tblStyle w:val="15"/>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2799"/>
              <w:gridCol w:w="4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4" w:type="dxa"/>
                  <w:vAlign w:val="center"/>
                </w:tcPr>
                <w:p>
                  <w:pPr>
                    <w:pStyle w:val="20"/>
                  </w:pPr>
                  <w:r>
                    <w:t>分区类别</w:t>
                  </w:r>
                </w:p>
              </w:tc>
              <w:tc>
                <w:tcPr>
                  <w:tcW w:w="2799" w:type="dxa"/>
                  <w:vAlign w:val="center"/>
                </w:tcPr>
                <w:p>
                  <w:pPr>
                    <w:pStyle w:val="20"/>
                  </w:pPr>
                  <w:r>
                    <w:t>分区举例</w:t>
                  </w:r>
                </w:p>
              </w:tc>
              <w:tc>
                <w:tcPr>
                  <w:tcW w:w="4055" w:type="dxa"/>
                  <w:vAlign w:val="center"/>
                </w:tcPr>
                <w:p>
                  <w:pPr>
                    <w:pStyle w:val="20"/>
                  </w:pPr>
                  <w:r>
                    <w:t>防渗要求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pPr>
                    <w:pStyle w:val="20"/>
                  </w:pPr>
                  <w:r>
                    <w:t>非污染区</w:t>
                  </w:r>
                </w:p>
              </w:tc>
              <w:tc>
                <w:tcPr>
                  <w:tcW w:w="2799" w:type="dxa"/>
                  <w:vAlign w:val="center"/>
                </w:tcPr>
                <w:p>
                  <w:pPr>
                    <w:pStyle w:val="20"/>
                  </w:pPr>
                  <w:r>
                    <w:rPr>
                      <w:rFonts w:hint="eastAsia"/>
                    </w:rPr>
                    <w:t>成品仓库、</w:t>
                  </w:r>
                  <w:r>
                    <w:rPr>
                      <w:rFonts w:hint="eastAsia"/>
                      <w:lang w:val="en-US" w:eastAsia="zh-CN"/>
                    </w:rPr>
                    <w:t>食堂</w:t>
                  </w:r>
                  <w:r>
                    <w:rPr>
                      <w:rFonts w:hint="eastAsia"/>
                    </w:rPr>
                    <w:t>等</w:t>
                  </w:r>
                </w:p>
              </w:tc>
              <w:tc>
                <w:tcPr>
                  <w:tcW w:w="4055" w:type="dxa"/>
                  <w:vAlign w:val="center"/>
                </w:tcPr>
                <w:p>
                  <w:pPr>
                    <w:pStyle w:val="20"/>
                  </w:pPr>
                  <w:r>
                    <w:rPr>
                      <w:rFonts w:hint="eastAsia"/>
                    </w:rPr>
                    <w:t>一般地面硬化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pPr>
                    <w:pStyle w:val="20"/>
                  </w:pPr>
                  <w:r>
                    <w:t>一般污染防治区</w:t>
                  </w:r>
                </w:p>
              </w:tc>
              <w:tc>
                <w:tcPr>
                  <w:tcW w:w="2799" w:type="dxa"/>
                  <w:vAlign w:val="center"/>
                </w:tcPr>
                <w:p>
                  <w:pPr>
                    <w:pStyle w:val="20"/>
                  </w:pPr>
                  <w:r>
                    <w:rPr>
                      <w:rFonts w:hint="eastAsia"/>
                    </w:rPr>
                    <w:t>生产车间</w:t>
                  </w:r>
                  <w:r>
                    <w:rPr>
                      <w:rFonts w:hint="eastAsia"/>
                      <w:lang w:eastAsia="zh-CN"/>
                    </w:rPr>
                    <w:t>、</w:t>
                  </w:r>
                  <w:r>
                    <w:rPr>
                      <w:rFonts w:hint="eastAsia"/>
                      <w:lang w:val="en-US" w:eastAsia="zh-CN"/>
                    </w:rPr>
                    <w:t>原料</w:t>
                  </w:r>
                  <w:r>
                    <w:rPr>
                      <w:rFonts w:hint="eastAsia"/>
                    </w:rPr>
                    <w:t>仓库</w:t>
                  </w:r>
                  <w:r>
                    <w:rPr>
                      <w:rFonts w:hint="eastAsia"/>
                      <w:lang w:eastAsia="zh-CN"/>
                    </w:rPr>
                    <w:t>、</w:t>
                  </w:r>
                  <w:r>
                    <w:rPr>
                      <w:rFonts w:hint="eastAsia"/>
                      <w:lang w:val="en-US" w:eastAsia="zh-CN"/>
                    </w:rPr>
                    <w:t>一般固废仓库</w:t>
                  </w:r>
                  <w:r>
                    <w:rPr>
                      <w:rFonts w:hint="eastAsia"/>
                    </w:rPr>
                    <w:t>等</w:t>
                  </w:r>
                </w:p>
              </w:tc>
              <w:tc>
                <w:tcPr>
                  <w:tcW w:w="4055" w:type="dxa"/>
                  <w:vAlign w:val="center"/>
                </w:tcPr>
                <w:p>
                  <w:pPr>
                    <w:pStyle w:val="20"/>
                  </w:pPr>
                  <w:r>
                    <w:rPr>
                      <w:rFonts w:hint="eastAsia"/>
                    </w:rPr>
                    <w:t>等效黏土防渗层Mb</w:t>
                  </w:r>
                  <w:r>
                    <w:t>≥</w:t>
                  </w:r>
                  <w:r>
                    <w:rPr>
                      <w:rFonts w:hint="eastAsia"/>
                    </w:rPr>
                    <w:t>1.5m，K</w:t>
                  </w:r>
                  <w:r>
                    <w:t>≤</w:t>
                  </w:r>
                  <w:r>
                    <w:rPr>
                      <w:rFonts w:hint="eastAsia"/>
                    </w:rPr>
                    <w:t>1</w:t>
                  </w:r>
                  <w:r>
                    <w:t>×10</w:t>
                  </w:r>
                  <w:r>
                    <w:rPr>
                      <w:vertAlign w:val="superscript"/>
                    </w:rPr>
                    <w:t>-7</w:t>
                  </w:r>
                  <w:r>
                    <w:t>cm/s，</w:t>
                  </w:r>
                  <w:r>
                    <w:rPr>
                      <w:rFonts w:hint="eastAsia"/>
                    </w:rPr>
                    <w:t>或参照GB18598执行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pPr>
                    <w:pStyle w:val="20"/>
                  </w:pPr>
                  <w:r>
                    <w:t>重点污染防治区</w:t>
                  </w:r>
                </w:p>
              </w:tc>
              <w:tc>
                <w:tcPr>
                  <w:tcW w:w="2799" w:type="dxa"/>
                  <w:vAlign w:val="center"/>
                </w:tcPr>
                <w:p>
                  <w:pPr>
                    <w:pStyle w:val="20"/>
                    <w:rPr>
                      <w:rFonts w:hint="default" w:eastAsia="宋体"/>
                      <w:lang w:val="en-US" w:eastAsia="zh-CN"/>
                    </w:rPr>
                  </w:pPr>
                  <w:r>
                    <w:rPr>
                      <w:rFonts w:hint="eastAsia"/>
                    </w:rPr>
                    <w:t>危废仓库</w:t>
                  </w:r>
                  <w:r>
                    <w:rPr>
                      <w:rFonts w:hint="eastAsia"/>
                      <w:lang w:eastAsia="zh-CN"/>
                    </w:rPr>
                    <w:t>、</w:t>
                  </w:r>
                  <w:r>
                    <w:rPr>
                      <w:rFonts w:hint="eastAsia"/>
                      <w:lang w:val="en-US" w:eastAsia="zh-CN"/>
                    </w:rPr>
                    <w:t>污水站</w:t>
                  </w:r>
                </w:p>
              </w:tc>
              <w:tc>
                <w:tcPr>
                  <w:tcW w:w="4055" w:type="dxa"/>
                  <w:vAlign w:val="center"/>
                </w:tcPr>
                <w:p>
                  <w:pPr>
                    <w:pStyle w:val="20"/>
                  </w:pPr>
                  <w:r>
                    <w:rPr>
                      <w:rFonts w:hint="eastAsia"/>
                    </w:rPr>
                    <w:t>等效黏土防渗层Mb</w:t>
                  </w:r>
                  <w:r>
                    <w:t>≥</w:t>
                  </w:r>
                  <w:r>
                    <w:rPr>
                      <w:rFonts w:hint="eastAsia"/>
                    </w:rPr>
                    <w:t>6.0m，K</w:t>
                  </w:r>
                  <w:r>
                    <w:t>≤</w:t>
                  </w:r>
                  <w:r>
                    <w:rPr>
                      <w:rFonts w:hint="eastAsia"/>
                    </w:rPr>
                    <w:t>1</w:t>
                  </w:r>
                  <w:r>
                    <w:t>×10</w:t>
                  </w:r>
                  <w:r>
                    <w:rPr>
                      <w:vertAlign w:val="superscript"/>
                    </w:rPr>
                    <w:t>-7</w:t>
                  </w:r>
                  <w:r>
                    <w:t>cm/s，</w:t>
                  </w:r>
                  <w:r>
                    <w:rPr>
                      <w:rFonts w:hint="eastAsia"/>
                    </w:rPr>
                    <w:t>或参照GB18598执行</w:t>
                  </w:r>
                </w:p>
              </w:tc>
            </w:tr>
          </w:tbl>
          <w:p>
            <w:pPr>
              <w:bidi w:val="0"/>
              <w:rPr>
                <w:rFonts w:hint="eastAsia"/>
              </w:rPr>
            </w:pPr>
            <w:r>
              <w:rPr>
                <w:rFonts w:hint="eastAsia"/>
              </w:rPr>
              <w:t>②主动防渗漏措施</w:t>
            </w:r>
          </w:p>
          <w:p>
            <w:pPr>
              <w:bidi w:val="0"/>
              <w:rPr>
                <w:rFonts w:hint="eastAsia"/>
              </w:rPr>
            </w:pPr>
            <w:r>
              <w:rPr>
                <w:rFonts w:hint="eastAsia"/>
              </w:rPr>
              <w:t>装有毒有害介质设备的法兰及接管法兰的密封面、垫片提高密封等级，必要时采用焊接连接。设备的排净及排空口不采用螺纹密封结构，且不直接排放。搅拌设备的轴封选择适当的密封形式。</w:t>
            </w:r>
          </w:p>
          <w:p>
            <w:pPr>
              <w:bidi w:val="0"/>
              <w:rPr>
                <w:rFonts w:hint="eastAsia"/>
              </w:rPr>
            </w:pPr>
            <w:r>
              <w:rPr>
                <w:rFonts w:hint="eastAsia"/>
              </w:rPr>
              <w:t>a.所有转动设备进行有效的设计，尽可能防止有害介质(如系统中的润滑油等)泄漏。对输送有毒有害介质的泵选用无密封泵(磁力泵、屏蔽泵等)。所有转动设备均提供集液盆式底座，并能将集液全部收集并集中排放。</w:t>
            </w:r>
          </w:p>
          <w:p>
            <w:pPr>
              <w:bidi w:val="0"/>
              <w:rPr>
                <w:rFonts w:hint="eastAsia"/>
              </w:rPr>
            </w:pPr>
            <w:r>
              <w:rPr>
                <w:rFonts w:hint="eastAsia"/>
              </w:rPr>
              <w:t>b.污水/雨水收排及处理系统</w:t>
            </w:r>
          </w:p>
          <w:p>
            <w:pPr>
              <w:bidi w:val="0"/>
              <w:rPr>
                <w:rFonts w:hint="eastAsia"/>
              </w:rPr>
            </w:pPr>
            <w:r>
              <w:rPr>
                <w:rFonts w:hint="eastAsia"/>
              </w:rPr>
              <w:t>固废仓、电解液仓、危废仓、NMP 精馏回收装置、NMP 储罐区污染区地面初期雨水及消防废水全部收集进入污染雨水收集池，通过泵提升后送厂内污水处理站处理达标后纳管。输送污水压力管道尽量采用地上敷设或架空管道，所有穿过污水处理构筑物壁的管道预先设置防水套管，防水套管的环缝隙采用不透水的柔性材料填塞，埋地敷设的排水管道在穿越厂区干道时采用套管保护，禁止在重力排水的污水管线上使用倒虹吸管。所有穿过污水处理构筑物壁的管道预先设置防水套管，防水套管的环缝隙采用不透水的柔性材料填塞。</w:t>
            </w:r>
          </w:p>
          <w:p>
            <w:pPr>
              <w:bidi w:val="0"/>
            </w:pPr>
            <w:r>
              <w:rPr>
                <w:rFonts w:hint="eastAsia"/>
              </w:rPr>
              <w:t>综上，本项目各功能区均采取“源头控制”、“分区防控”的防渗措施。可以有效保证污染物不会进入地下水、土壤环境；而且厂区内地面采取硬化防渗建设，因此，项目正常工况下不存在土壤、地下水污染途径，对所在地土壤、地下水环境造成污染可接受。</w:t>
            </w:r>
          </w:p>
          <w:p>
            <w:pPr>
              <w:pStyle w:val="5"/>
              <w:spacing w:before="0"/>
              <w:rPr>
                <w:rFonts w:hint="default"/>
                <w:bCs w:val="0"/>
                <w:spacing w:val="-10"/>
              </w:rPr>
            </w:pPr>
            <w:r>
              <w:rPr>
                <w:bCs w:val="0"/>
                <w:spacing w:val="-10"/>
              </w:rPr>
              <w:t>4.7</w:t>
            </w:r>
            <w:r>
              <w:rPr>
                <w:bCs w:val="0"/>
              </w:rPr>
              <w:t>运营期</w:t>
            </w:r>
            <w:r>
              <w:rPr>
                <w:bCs w:val="0"/>
                <w:spacing w:val="-10"/>
              </w:rPr>
              <w:t>生态</w:t>
            </w:r>
            <w:r>
              <w:rPr>
                <w:bCs w:val="0"/>
              </w:rPr>
              <w:t>环境影响和保护措施</w:t>
            </w:r>
          </w:p>
          <w:p>
            <w:pPr>
              <w:adjustRightInd w:val="0"/>
              <w:ind w:firstLine="380"/>
              <w:rPr>
                <w:bCs/>
                <w:spacing w:val="-10"/>
              </w:rPr>
            </w:pPr>
            <w:r>
              <w:rPr>
                <w:bCs/>
                <w:spacing w:val="-10"/>
              </w:rPr>
              <w:t>本项目不涉及。</w:t>
            </w:r>
          </w:p>
          <w:p>
            <w:pPr>
              <w:pStyle w:val="5"/>
              <w:rPr>
                <w:bCs/>
                <w:spacing w:val="-10"/>
              </w:rPr>
            </w:pPr>
            <w:r>
              <w:rPr>
                <w:bCs/>
                <w:spacing w:val="-10"/>
              </w:rPr>
              <w:t>4.8</w:t>
            </w:r>
            <w:r>
              <w:rPr>
                <w:bCs/>
              </w:rPr>
              <w:t>运营期环境风险影响和保护措施</w:t>
            </w:r>
          </w:p>
          <w:p>
            <w:pPr>
              <w:pStyle w:val="6"/>
            </w:pPr>
            <w:r>
              <w:t>4.8.1危险物质和风险源分布情况</w:t>
            </w:r>
          </w:p>
          <w:p>
            <w:pPr>
              <w:ind w:firstLine="420"/>
            </w:pPr>
            <w:r>
              <w:t>本项目涉及的</w:t>
            </w:r>
            <w:r>
              <w:rPr>
                <w:rFonts w:hint="eastAsia"/>
              </w:rPr>
              <w:t>危险</w:t>
            </w:r>
            <w:r>
              <w:t>物质主要为</w:t>
            </w:r>
            <w:r>
              <w:rPr>
                <w:rFonts w:hint="eastAsia"/>
              </w:rPr>
              <w:t>危险废物</w:t>
            </w:r>
            <w:r>
              <w:t>，</w:t>
            </w:r>
            <w:r>
              <w:rPr>
                <w:rFonts w:hint="eastAsia"/>
              </w:rPr>
              <w:t>项目实施后</w:t>
            </w:r>
            <w:r>
              <w:t>主要</w:t>
            </w:r>
            <w:r>
              <w:rPr>
                <w:rFonts w:hint="eastAsia"/>
              </w:rPr>
              <w:t>环境风险</w:t>
            </w:r>
            <w:r>
              <w:t>物质及最大存在量详见表</w:t>
            </w:r>
            <w:r>
              <w:rPr>
                <w:rFonts w:hint="eastAsia"/>
              </w:rPr>
              <w:t>4.8-1</w:t>
            </w:r>
            <w:r>
              <w:t>。</w:t>
            </w:r>
          </w:p>
          <w:p>
            <w:pPr>
              <w:ind w:firstLine="0" w:firstLineChars="0"/>
              <w:jc w:val="center"/>
              <w:rPr>
                <w:b/>
                <w:bCs/>
              </w:rPr>
            </w:pPr>
            <w:r>
              <w:rPr>
                <w:b/>
                <w:bCs/>
              </w:rPr>
              <w:t>表</w:t>
            </w:r>
            <w:r>
              <w:rPr>
                <w:rFonts w:hint="eastAsia"/>
                <w:b/>
                <w:bCs/>
              </w:rPr>
              <w:t>4.8-1</w:t>
            </w:r>
            <w:r>
              <w:rPr>
                <w:b/>
                <w:bCs/>
              </w:rPr>
              <w:t xml:space="preserve">  环境风险物质及最大存在量一览表</w:t>
            </w:r>
          </w:p>
          <w:tbl>
            <w:tblPr>
              <w:tblStyle w:val="15"/>
              <w:tblW w:w="7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885"/>
              <w:gridCol w:w="1292"/>
              <w:gridCol w:w="1073"/>
              <w:gridCol w:w="2133"/>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dxa"/>
                  <w:vAlign w:val="center"/>
                </w:tcPr>
                <w:p>
                  <w:pPr>
                    <w:pStyle w:val="20"/>
                  </w:pPr>
                  <w:r>
                    <w:t>序号</w:t>
                  </w:r>
                </w:p>
              </w:tc>
              <w:tc>
                <w:tcPr>
                  <w:tcW w:w="1885" w:type="dxa"/>
                  <w:vAlign w:val="center"/>
                </w:tcPr>
                <w:p>
                  <w:pPr>
                    <w:pStyle w:val="20"/>
                  </w:pPr>
                  <w:r>
                    <w:t>名称</w:t>
                  </w:r>
                </w:p>
              </w:tc>
              <w:tc>
                <w:tcPr>
                  <w:tcW w:w="1292" w:type="dxa"/>
                  <w:vAlign w:val="center"/>
                </w:tcPr>
                <w:p>
                  <w:pPr>
                    <w:pStyle w:val="20"/>
                  </w:pPr>
                  <w:r>
                    <w:t>包装及规格</w:t>
                  </w:r>
                </w:p>
              </w:tc>
              <w:tc>
                <w:tcPr>
                  <w:tcW w:w="1073" w:type="dxa"/>
                  <w:vAlign w:val="center"/>
                </w:tcPr>
                <w:p>
                  <w:pPr>
                    <w:pStyle w:val="20"/>
                  </w:pPr>
                  <w:r>
                    <w:t>全厂最大储存量(t)</w:t>
                  </w:r>
                </w:p>
              </w:tc>
              <w:tc>
                <w:tcPr>
                  <w:tcW w:w="2133" w:type="dxa"/>
                  <w:vAlign w:val="center"/>
                </w:tcPr>
                <w:p>
                  <w:pPr>
                    <w:pStyle w:val="20"/>
                  </w:pPr>
                  <w:r>
                    <w:t>有害成分</w:t>
                  </w:r>
                </w:p>
              </w:tc>
              <w:tc>
                <w:tcPr>
                  <w:tcW w:w="984" w:type="dxa"/>
                  <w:vAlign w:val="center"/>
                </w:tcPr>
                <w:p>
                  <w:pPr>
                    <w:pStyle w:val="20"/>
                  </w:pPr>
                  <w:r>
                    <w:t>贮存地点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02" w:type="dxa"/>
                  <w:vAlign w:val="center"/>
                </w:tcPr>
                <w:p>
                  <w:pPr>
                    <w:pStyle w:val="20"/>
                  </w:pPr>
                  <w:r>
                    <w:rPr>
                      <w:rFonts w:hint="eastAsia"/>
                    </w:rPr>
                    <w:t>1</w:t>
                  </w:r>
                </w:p>
              </w:tc>
              <w:tc>
                <w:tcPr>
                  <w:tcW w:w="1885" w:type="dxa"/>
                  <w:vAlign w:val="center"/>
                </w:tcPr>
                <w:p>
                  <w:pPr>
                    <w:pStyle w:val="20"/>
                  </w:pPr>
                  <w:r>
                    <w:rPr>
                      <w:rFonts w:hint="eastAsia"/>
                    </w:rPr>
                    <w:t>危险废物</w:t>
                  </w:r>
                </w:p>
              </w:tc>
              <w:tc>
                <w:tcPr>
                  <w:tcW w:w="1292" w:type="dxa"/>
                  <w:vAlign w:val="center"/>
                </w:tcPr>
                <w:p>
                  <w:pPr>
                    <w:pStyle w:val="20"/>
                  </w:pPr>
                  <w:r>
                    <w:rPr>
                      <w:rFonts w:hint="eastAsia"/>
                    </w:rPr>
                    <w:t>/</w:t>
                  </w:r>
                </w:p>
              </w:tc>
              <w:tc>
                <w:tcPr>
                  <w:tcW w:w="1073" w:type="dxa"/>
                  <w:vAlign w:val="center"/>
                </w:tcPr>
                <w:p>
                  <w:pPr>
                    <w:pStyle w:val="20"/>
                    <w:rPr>
                      <w:rFonts w:hint="default" w:eastAsia="宋体"/>
                      <w:lang w:val="en-US" w:eastAsia="zh-CN"/>
                    </w:rPr>
                  </w:pPr>
                  <w:r>
                    <w:rPr>
                      <w:rFonts w:hint="eastAsia"/>
                      <w:lang w:val="en-US" w:eastAsia="zh-CN"/>
                    </w:rPr>
                    <w:t>30.964</w:t>
                  </w:r>
                </w:p>
              </w:tc>
              <w:tc>
                <w:tcPr>
                  <w:tcW w:w="2133" w:type="dxa"/>
                  <w:vAlign w:val="center"/>
                </w:tcPr>
                <w:p>
                  <w:pPr>
                    <w:pStyle w:val="20"/>
                    <w:rPr>
                      <w:rFonts w:hint="default" w:eastAsia="宋体"/>
                      <w:lang w:val="en-US" w:eastAsia="zh-CN"/>
                    </w:rPr>
                  </w:pPr>
                  <w:r>
                    <w:rPr>
                      <w:rFonts w:hint="eastAsia"/>
                      <w:lang w:val="en-US" w:eastAsia="zh-CN"/>
                    </w:rPr>
                    <w:t>废胶、废油、废活性炭等危废</w:t>
                  </w:r>
                </w:p>
              </w:tc>
              <w:tc>
                <w:tcPr>
                  <w:tcW w:w="984" w:type="dxa"/>
                  <w:vAlign w:val="center"/>
                </w:tcPr>
                <w:p>
                  <w:pPr>
                    <w:pStyle w:val="20"/>
                  </w:pPr>
                  <w:r>
                    <w:rPr>
                      <w:rFonts w:hint="eastAsia"/>
                    </w:rPr>
                    <w:t>危废仓库</w:t>
                  </w:r>
                </w:p>
              </w:tc>
            </w:tr>
          </w:tbl>
          <w:p>
            <w:pPr>
              <w:ind w:firstLine="420"/>
            </w:pPr>
            <w:r>
              <w:t>经查表，《建设项目环境风险评价技术导则》（HJ169-2018）附录B</w:t>
            </w:r>
            <w:r>
              <w:rPr>
                <w:rFonts w:hint="eastAsia"/>
              </w:rPr>
              <w:t>，</w:t>
            </w:r>
            <w:r>
              <w:t>企业重点关注的</w:t>
            </w:r>
            <w:r>
              <w:rPr>
                <w:rFonts w:hint="eastAsia"/>
              </w:rPr>
              <w:t>危险物质</w:t>
            </w:r>
            <w:r>
              <w:t>为</w:t>
            </w:r>
            <w:r>
              <w:rPr>
                <w:rFonts w:hint="eastAsia"/>
              </w:rPr>
              <w:t>危险废物</w:t>
            </w:r>
            <w:r>
              <w:rPr>
                <w:spacing w:val="-2"/>
              </w:rPr>
              <w:t>，</w:t>
            </w:r>
            <w:r>
              <w:t>企业重点关注的风险物质及临界量见表</w:t>
            </w:r>
            <w:r>
              <w:rPr>
                <w:rFonts w:hint="eastAsia"/>
              </w:rPr>
              <w:t>4.8-2</w:t>
            </w:r>
            <w:r>
              <w:t>。</w:t>
            </w:r>
          </w:p>
          <w:p>
            <w:pPr>
              <w:adjustRightInd/>
              <w:ind w:firstLine="0" w:firstLineChars="0"/>
              <w:jc w:val="center"/>
              <w:rPr>
                <w:b/>
                <w:bCs/>
              </w:rPr>
            </w:pPr>
            <w:r>
              <w:rPr>
                <w:b/>
                <w:bCs/>
              </w:rPr>
              <w:t>表</w:t>
            </w:r>
            <w:r>
              <w:rPr>
                <w:rFonts w:hint="eastAsia"/>
                <w:b/>
                <w:bCs/>
              </w:rPr>
              <w:t xml:space="preserve">4.8-2 </w:t>
            </w:r>
            <w:r>
              <w:rPr>
                <w:b/>
                <w:bCs/>
              </w:rPr>
              <w:t xml:space="preserve"> 重点关注的</w:t>
            </w:r>
            <w:r>
              <w:rPr>
                <w:rFonts w:hint="eastAsia"/>
                <w:b/>
                <w:bCs/>
              </w:rPr>
              <w:t>危险</w:t>
            </w:r>
            <w:r>
              <w:rPr>
                <w:b/>
                <w:bCs/>
              </w:rPr>
              <w:t>物质及临界量</w:t>
            </w:r>
          </w:p>
          <w:tbl>
            <w:tblPr>
              <w:tblStyle w:val="15"/>
              <w:tblW w:w="483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5"/>
              <w:gridCol w:w="1542"/>
              <w:gridCol w:w="2637"/>
              <w:gridCol w:w="886"/>
              <w:gridCol w:w="1104"/>
              <w:gridCol w:w="9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0"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pPr>
                    <w:pStyle w:val="20"/>
                  </w:pPr>
                  <w:r>
                    <w:t>序号</w:t>
                  </w:r>
                </w:p>
              </w:tc>
              <w:tc>
                <w:tcPr>
                  <w:tcW w:w="1542" w:type="dxa"/>
                  <w:tcBorders>
                    <w:top w:val="single" w:color="auto" w:sz="4" w:space="0"/>
                    <w:left w:val="single" w:color="auto" w:sz="4" w:space="0"/>
                    <w:bottom w:val="single" w:color="auto" w:sz="4" w:space="0"/>
                    <w:right w:val="single" w:color="auto" w:sz="4" w:space="0"/>
                  </w:tcBorders>
                  <w:vAlign w:val="center"/>
                </w:tcPr>
                <w:p>
                  <w:pPr>
                    <w:pStyle w:val="20"/>
                  </w:pPr>
                  <w:r>
                    <w:t>名称</w:t>
                  </w:r>
                </w:p>
              </w:tc>
              <w:tc>
                <w:tcPr>
                  <w:tcW w:w="2637" w:type="dxa"/>
                  <w:tcBorders>
                    <w:top w:val="single" w:color="auto" w:sz="4" w:space="0"/>
                    <w:left w:val="single" w:color="auto" w:sz="4" w:space="0"/>
                    <w:bottom w:val="single" w:color="auto" w:sz="4" w:space="0"/>
                    <w:right w:val="single" w:color="auto" w:sz="4" w:space="0"/>
                  </w:tcBorders>
                  <w:vAlign w:val="center"/>
                </w:tcPr>
                <w:p>
                  <w:pPr>
                    <w:pStyle w:val="20"/>
                  </w:pPr>
                  <w:r>
                    <w:t>依据</w:t>
                  </w:r>
                </w:p>
              </w:tc>
              <w:tc>
                <w:tcPr>
                  <w:tcW w:w="886" w:type="dxa"/>
                  <w:tcBorders>
                    <w:top w:val="single" w:color="auto" w:sz="4" w:space="0"/>
                    <w:left w:val="single" w:color="auto" w:sz="4" w:space="0"/>
                    <w:bottom w:val="single" w:color="auto" w:sz="4" w:space="0"/>
                    <w:right w:val="single" w:color="auto" w:sz="4" w:space="0"/>
                  </w:tcBorders>
                  <w:vAlign w:val="center"/>
                </w:tcPr>
                <w:p>
                  <w:pPr>
                    <w:pStyle w:val="20"/>
                  </w:pPr>
                  <w:r>
                    <w:t>临界量Qi</w:t>
                  </w:r>
                  <w:r>
                    <w:rPr>
                      <w:rFonts w:hint="eastAsia"/>
                    </w:rPr>
                    <w:t>(</w:t>
                  </w:r>
                  <w:r>
                    <w:t>t</w:t>
                  </w:r>
                  <w:r>
                    <w:rPr>
                      <w:rFonts w:hint="eastAsia"/>
                    </w:rPr>
                    <w:t>)</w:t>
                  </w:r>
                </w:p>
              </w:tc>
              <w:tc>
                <w:tcPr>
                  <w:tcW w:w="1104" w:type="dxa"/>
                  <w:tcBorders>
                    <w:top w:val="single" w:color="auto" w:sz="4" w:space="0"/>
                    <w:left w:val="single" w:color="auto" w:sz="4" w:space="0"/>
                    <w:bottom w:val="single" w:color="auto" w:sz="4" w:space="0"/>
                    <w:right w:val="single" w:color="auto" w:sz="4" w:space="0"/>
                  </w:tcBorders>
                  <w:vAlign w:val="center"/>
                </w:tcPr>
                <w:p>
                  <w:pPr>
                    <w:pStyle w:val="20"/>
                  </w:pPr>
                  <w:r>
                    <w:t>企业最大存在量qi</w:t>
                  </w:r>
                  <w:r>
                    <w:rPr>
                      <w:rFonts w:hint="eastAsia"/>
                    </w:rPr>
                    <w:t>(</w:t>
                  </w:r>
                  <w:r>
                    <w:t>t</w:t>
                  </w:r>
                  <w:r>
                    <w:rPr>
                      <w:rFonts w:hint="eastAsia"/>
                    </w:rPr>
                    <w:t>)</w:t>
                  </w:r>
                </w:p>
              </w:tc>
              <w:tc>
                <w:tcPr>
                  <w:tcW w:w="943" w:type="dxa"/>
                  <w:tcBorders>
                    <w:top w:val="single" w:color="auto" w:sz="4" w:space="0"/>
                    <w:left w:val="single" w:color="auto" w:sz="4" w:space="0"/>
                    <w:bottom w:val="single" w:color="auto" w:sz="4" w:space="0"/>
                    <w:right w:val="single" w:color="auto" w:sz="4" w:space="0"/>
                  </w:tcBorders>
                  <w:vAlign w:val="center"/>
                </w:tcPr>
                <w:p>
                  <w:pPr>
                    <w:pStyle w:val="20"/>
                  </w:pPr>
                  <w:r>
                    <w:t>Q</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2"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pPr>
                    <w:pStyle w:val="20"/>
                    <w:rPr>
                      <w:rFonts w:hint="eastAsia" w:eastAsia="宋体"/>
                      <w:lang w:eastAsia="zh-CN"/>
                    </w:rPr>
                  </w:pPr>
                  <w:r>
                    <w:rPr>
                      <w:rFonts w:hint="eastAsia"/>
                      <w:lang w:val="en-US" w:eastAsia="zh-CN"/>
                    </w:rPr>
                    <w:t>1</w:t>
                  </w:r>
                </w:p>
              </w:tc>
              <w:tc>
                <w:tcPr>
                  <w:tcW w:w="1542" w:type="dxa"/>
                  <w:tcBorders>
                    <w:top w:val="single" w:color="auto" w:sz="4" w:space="0"/>
                    <w:left w:val="single" w:color="auto" w:sz="4" w:space="0"/>
                    <w:bottom w:val="single" w:color="auto" w:sz="4" w:space="0"/>
                    <w:right w:val="single" w:color="auto" w:sz="4" w:space="0"/>
                  </w:tcBorders>
                  <w:vAlign w:val="center"/>
                </w:tcPr>
                <w:p>
                  <w:pPr>
                    <w:pStyle w:val="20"/>
                  </w:pPr>
                  <w:r>
                    <w:rPr>
                      <w:rFonts w:hint="eastAsia"/>
                    </w:rPr>
                    <w:t>危险废物</w:t>
                  </w:r>
                </w:p>
              </w:tc>
              <w:tc>
                <w:tcPr>
                  <w:tcW w:w="2637" w:type="dxa"/>
                  <w:tcBorders>
                    <w:top w:val="single" w:color="auto" w:sz="4" w:space="0"/>
                    <w:left w:val="single" w:color="auto" w:sz="4" w:space="0"/>
                    <w:bottom w:val="single" w:color="auto" w:sz="4" w:space="0"/>
                    <w:right w:val="single" w:color="auto" w:sz="4" w:space="0"/>
                  </w:tcBorders>
                  <w:vAlign w:val="center"/>
                </w:tcPr>
                <w:p>
                  <w:pPr>
                    <w:pStyle w:val="20"/>
                  </w:pPr>
                  <w:r>
                    <w:rPr>
                      <w:rFonts w:hint="eastAsia"/>
                    </w:rPr>
                    <w:t>HJ169-2018附录B健康危险急性毒性物质（类别2 类别3 ）</w:t>
                  </w:r>
                </w:p>
              </w:tc>
              <w:tc>
                <w:tcPr>
                  <w:tcW w:w="886" w:type="dxa"/>
                  <w:tcBorders>
                    <w:top w:val="single" w:color="auto" w:sz="4" w:space="0"/>
                    <w:left w:val="single" w:color="auto" w:sz="4" w:space="0"/>
                    <w:bottom w:val="single" w:color="auto" w:sz="4" w:space="0"/>
                    <w:right w:val="single" w:color="auto" w:sz="4" w:space="0"/>
                  </w:tcBorders>
                  <w:vAlign w:val="center"/>
                </w:tcPr>
                <w:p>
                  <w:pPr>
                    <w:pStyle w:val="20"/>
                  </w:pPr>
                  <w:r>
                    <w:t>50</w:t>
                  </w:r>
                </w:p>
              </w:tc>
              <w:tc>
                <w:tcPr>
                  <w:tcW w:w="1104" w:type="dxa"/>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30.964</w:t>
                  </w:r>
                </w:p>
              </w:tc>
              <w:tc>
                <w:tcPr>
                  <w:tcW w:w="943" w:type="dxa"/>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0.619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7" w:hRule="atLeast"/>
                <w:jc w:val="center"/>
              </w:trPr>
              <w:tc>
                <w:tcPr>
                  <w:tcW w:w="6674" w:type="dxa"/>
                  <w:gridSpan w:val="5"/>
                  <w:tcBorders>
                    <w:top w:val="single" w:color="auto" w:sz="4" w:space="0"/>
                    <w:left w:val="single" w:color="auto" w:sz="4" w:space="0"/>
                    <w:bottom w:val="single" w:color="auto" w:sz="4" w:space="0"/>
                    <w:right w:val="single" w:color="auto" w:sz="4" w:space="0"/>
                  </w:tcBorders>
                  <w:vAlign w:val="center"/>
                </w:tcPr>
                <w:p>
                  <w:pPr>
                    <w:pStyle w:val="20"/>
                  </w:pPr>
                  <w:r>
                    <w:t>合计</w:t>
                  </w:r>
                </w:p>
              </w:tc>
              <w:tc>
                <w:tcPr>
                  <w:tcW w:w="943" w:type="dxa"/>
                  <w:tcBorders>
                    <w:top w:val="single" w:color="auto" w:sz="4" w:space="0"/>
                    <w:left w:val="single" w:color="auto" w:sz="4" w:space="0"/>
                    <w:bottom w:val="single" w:color="auto" w:sz="4" w:space="0"/>
                    <w:right w:val="single" w:color="auto" w:sz="4" w:space="0"/>
                  </w:tcBorders>
                  <w:vAlign w:val="center"/>
                </w:tcPr>
                <w:p>
                  <w:pPr>
                    <w:pStyle w:val="20"/>
                    <w:rPr>
                      <w:rFonts w:hint="default" w:eastAsia="宋体"/>
                      <w:lang w:val="en-US" w:eastAsia="zh-CN"/>
                    </w:rPr>
                  </w:pPr>
                  <w:r>
                    <w:rPr>
                      <w:rFonts w:hint="eastAsia"/>
                      <w:lang w:val="en-US" w:eastAsia="zh-CN"/>
                    </w:rPr>
                    <w:t>0.619</w:t>
                  </w:r>
                </w:p>
              </w:tc>
            </w:tr>
          </w:tbl>
          <w:p>
            <w:pPr>
              <w:ind w:firstLine="420"/>
            </w:pPr>
            <w:r>
              <w:t>由表4.8-2可知，Q&lt;1，故不设环境风险专项评价。</w:t>
            </w:r>
          </w:p>
          <w:p>
            <w:pPr>
              <w:ind w:firstLine="420"/>
            </w:pPr>
            <w:r>
              <w:t>本项目在生产过程中潜在的风险因素主要体现在以下几个方面：</w:t>
            </w:r>
          </w:p>
          <w:p>
            <w:pPr>
              <w:ind w:firstLine="420"/>
            </w:pPr>
            <w:r>
              <w:fldChar w:fldCharType="begin"/>
            </w:r>
            <w:r>
              <w:instrText xml:space="preserve"> = 1 \* GB3 </w:instrText>
            </w:r>
            <w:r>
              <w:fldChar w:fldCharType="separate"/>
            </w:r>
            <w:r>
              <w:t>①</w:t>
            </w:r>
            <w:r>
              <w:fldChar w:fldCharType="end"/>
            </w:r>
            <w:r>
              <w:rPr>
                <w:rFonts w:hint="eastAsia"/>
              </w:rPr>
              <w:t>生产车间、化学品仓库储存的物料</w:t>
            </w:r>
            <w:r>
              <w:t>原料桶破裂，发生泄漏事故，</w:t>
            </w:r>
            <w:r>
              <w:rPr>
                <w:rFonts w:hint="eastAsia"/>
              </w:rPr>
              <w:t>进入雨水管道或者造成土壤及地下水污染</w:t>
            </w:r>
            <w:r>
              <w:t>；</w:t>
            </w:r>
          </w:p>
          <w:p>
            <w:pPr>
              <w:ind w:firstLine="420"/>
            </w:pPr>
            <w:r>
              <w:t>②</w:t>
            </w:r>
            <w:r>
              <w:rPr>
                <w:rFonts w:hint="eastAsia"/>
              </w:rPr>
              <w:t>生产车间废气收集、废气处理设施发生故障，导致废气未经处理直接通过排气筒排放或处理效率降低，造成周边大气污染。</w:t>
            </w:r>
          </w:p>
          <w:p>
            <w:pPr>
              <w:ind w:firstLine="420"/>
            </w:pPr>
            <w:r>
              <w:rPr>
                <w:rFonts w:hint="eastAsia"/>
              </w:rPr>
              <w:t>③废水处理设施发生故障、导致废水超标排放，或污水管线发生泄漏，污水进入雨水管道造成土壤地下水污染。</w:t>
            </w:r>
          </w:p>
          <w:p>
            <w:pPr>
              <w:ind w:firstLine="420"/>
            </w:pPr>
            <w:r>
              <w:rPr>
                <w:rFonts w:hint="eastAsia"/>
              </w:rPr>
              <w:t>④</w:t>
            </w:r>
            <w:r>
              <w:t>危险废物暂存过程中发生泄漏，受到雨水冲刷，造成二次污染；或转移过程中遗失于环境中造成水体或土壤污染。</w:t>
            </w:r>
          </w:p>
          <w:p>
            <w:pPr>
              <w:jc w:val="center"/>
              <w:rPr>
                <w:b/>
                <w:bCs/>
              </w:rPr>
            </w:pPr>
          </w:p>
          <w:p>
            <w:pPr>
              <w:jc w:val="center"/>
              <w:rPr>
                <w:b/>
                <w:bCs/>
              </w:rPr>
            </w:pPr>
            <w:r>
              <w:rPr>
                <w:b/>
                <w:bCs/>
              </w:rPr>
              <w:t>表</w:t>
            </w:r>
            <w:r>
              <w:rPr>
                <w:rFonts w:hint="eastAsia"/>
                <w:b/>
                <w:bCs/>
              </w:rPr>
              <w:t xml:space="preserve">4.8-3  </w:t>
            </w:r>
            <w:r>
              <w:rPr>
                <w:b/>
                <w:bCs/>
              </w:rPr>
              <w:t>环境风险单元情况</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72"/>
              <w:gridCol w:w="1943"/>
              <w:gridCol w:w="387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2072" w:type="dxa"/>
                  <w:tcBorders>
                    <w:top w:val="single" w:color="auto" w:sz="4" w:space="0"/>
                    <w:left w:val="single" w:color="auto" w:sz="4" w:space="0"/>
                    <w:bottom w:val="single" w:color="auto" w:sz="6" w:space="0"/>
                    <w:right w:val="single" w:color="auto" w:sz="6" w:space="0"/>
                  </w:tcBorders>
                  <w:vAlign w:val="center"/>
                </w:tcPr>
                <w:p>
                  <w:pPr>
                    <w:pStyle w:val="20"/>
                    <w:snapToGrid/>
                    <w:spacing w:line="300" w:lineRule="exact"/>
                  </w:pPr>
                  <w:r>
                    <w:t>环境风险单元编号</w:t>
                  </w:r>
                </w:p>
              </w:tc>
              <w:tc>
                <w:tcPr>
                  <w:tcW w:w="1943" w:type="dxa"/>
                  <w:tcBorders>
                    <w:top w:val="single" w:color="auto" w:sz="4" w:space="0"/>
                    <w:left w:val="single" w:color="auto" w:sz="6" w:space="0"/>
                    <w:bottom w:val="single" w:color="auto" w:sz="6" w:space="0"/>
                    <w:right w:val="single" w:color="auto" w:sz="6" w:space="0"/>
                  </w:tcBorders>
                  <w:vAlign w:val="center"/>
                </w:tcPr>
                <w:p>
                  <w:pPr>
                    <w:pStyle w:val="20"/>
                    <w:snapToGrid/>
                    <w:spacing w:line="300" w:lineRule="exact"/>
                  </w:pPr>
                  <w:r>
                    <w:t>环境风险单元名称</w:t>
                  </w:r>
                </w:p>
              </w:tc>
              <w:tc>
                <w:tcPr>
                  <w:tcW w:w="3875" w:type="dxa"/>
                  <w:tcBorders>
                    <w:top w:val="single" w:color="auto" w:sz="4" w:space="0"/>
                    <w:left w:val="single" w:color="auto" w:sz="6" w:space="0"/>
                    <w:bottom w:val="single" w:color="auto" w:sz="6" w:space="0"/>
                    <w:right w:val="single" w:color="auto" w:sz="6" w:space="0"/>
                  </w:tcBorders>
                  <w:vAlign w:val="center"/>
                </w:tcPr>
                <w:p>
                  <w:pPr>
                    <w:pStyle w:val="20"/>
                    <w:snapToGrid/>
                    <w:spacing w:line="300" w:lineRule="exact"/>
                  </w:pPr>
                  <w:r>
                    <w:t>主要环境危险物质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72" w:type="dxa"/>
                  <w:tcBorders>
                    <w:top w:val="single" w:color="auto" w:sz="6" w:space="0"/>
                    <w:left w:val="single" w:color="auto" w:sz="4" w:space="0"/>
                    <w:bottom w:val="single" w:color="auto" w:sz="6" w:space="0"/>
                    <w:right w:val="single" w:color="auto" w:sz="6" w:space="0"/>
                  </w:tcBorders>
                  <w:vAlign w:val="center"/>
                </w:tcPr>
                <w:p>
                  <w:pPr>
                    <w:pStyle w:val="20"/>
                    <w:snapToGrid/>
                    <w:spacing w:line="300" w:lineRule="exact"/>
                  </w:pPr>
                  <w:r>
                    <w:rPr>
                      <w:rFonts w:hint="eastAsia"/>
                    </w:rPr>
                    <w:t>1#</w:t>
                  </w:r>
                </w:p>
              </w:tc>
              <w:tc>
                <w:tcPr>
                  <w:tcW w:w="1943"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生产车间</w:t>
                  </w:r>
                </w:p>
              </w:tc>
              <w:tc>
                <w:tcPr>
                  <w:tcW w:w="3875"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rPr>
                      <w:rFonts w:hint="default" w:eastAsia="宋体"/>
                      <w:lang w:val="en-US" w:eastAsia="zh-CN"/>
                    </w:rPr>
                  </w:pPr>
                  <w:r>
                    <w:rPr>
                      <w:rFonts w:hint="eastAsia"/>
                      <w:lang w:val="en-US" w:eastAsia="zh-CN"/>
                    </w:rPr>
                    <w:t>结构胶、密封胶、酒精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72" w:type="dxa"/>
                  <w:tcBorders>
                    <w:top w:val="single" w:color="auto" w:sz="6" w:space="0"/>
                    <w:left w:val="single" w:color="auto" w:sz="4" w:space="0"/>
                    <w:bottom w:val="single" w:color="auto" w:sz="6" w:space="0"/>
                    <w:right w:val="single" w:color="auto" w:sz="6" w:space="0"/>
                  </w:tcBorders>
                  <w:vAlign w:val="center"/>
                </w:tcPr>
                <w:p>
                  <w:pPr>
                    <w:pStyle w:val="20"/>
                    <w:snapToGrid/>
                    <w:spacing w:line="300" w:lineRule="exact"/>
                  </w:pPr>
                  <w:r>
                    <w:rPr>
                      <w:rFonts w:hint="eastAsia"/>
                    </w:rPr>
                    <w:t>2#</w:t>
                  </w:r>
                </w:p>
              </w:tc>
              <w:tc>
                <w:tcPr>
                  <w:tcW w:w="1943"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原辅料仓库</w:t>
                  </w:r>
                </w:p>
              </w:tc>
              <w:tc>
                <w:tcPr>
                  <w:tcW w:w="3875"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rPr>
                      <w:rFonts w:hint="default" w:eastAsia="宋体"/>
                      <w:lang w:val="en-US" w:eastAsia="zh-CN"/>
                    </w:rPr>
                  </w:pPr>
                  <w:r>
                    <w:rPr>
                      <w:rFonts w:hint="eastAsia"/>
                      <w:lang w:val="en-US" w:eastAsia="zh-CN"/>
                    </w:rPr>
                    <w:t>结构胶、密封胶、酒精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72" w:type="dxa"/>
                  <w:tcBorders>
                    <w:top w:val="single" w:color="auto" w:sz="6" w:space="0"/>
                    <w:left w:val="single" w:color="auto" w:sz="4" w:space="0"/>
                    <w:bottom w:val="single" w:color="auto" w:sz="6" w:space="0"/>
                    <w:right w:val="single" w:color="auto" w:sz="6" w:space="0"/>
                  </w:tcBorders>
                  <w:vAlign w:val="center"/>
                </w:tcPr>
                <w:p>
                  <w:pPr>
                    <w:pStyle w:val="20"/>
                    <w:snapToGrid/>
                    <w:spacing w:line="300" w:lineRule="exact"/>
                  </w:pPr>
                  <w:r>
                    <w:rPr>
                      <w:rFonts w:hint="eastAsia"/>
                      <w:lang w:val="en-US" w:eastAsia="zh-CN"/>
                    </w:rPr>
                    <w:t>3</w:t>
                  </w:r>
                  <w:r>
                    <w:rPr>
                      <w:rFonts w:hint="eastAsia"/>
                    </w:rPr>
                    <w:t>#</w:t>
                  </w:r>
                </w:p>
              </w:tc>
              <w:tc>
                <w:tcPr>
                  <w:tcW w:w="1943"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废水处理设施</w:t>
                  </w:r>
                </w:p>
              </w:tc>
              <w:tc>
                <w:tcPr>
                  <w:tcW w:w="3875"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COD、氨氮等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72" w:type="dxa"/>
                  <w:tcBorders>
                    <w:top w:val="single" w:color="auto" w:sz="6" w:space="0"/>
                    <w:left w:val="single" w:color="auto" w:sz="4" w:space="0"/>
                    <w:bottom w:val="single" w:color="auto" w:sz="6" w:space="0"/>
                    <w:right w:val="single" w:color="auto" w:sz="6" w:space="0"/>
                  </w:tcBorders>
                  <w:vAlign w:val="center"/>
                </w:tcPr>
                <w:p>
                  <w:pPr>
                    <w:pStyle w:val="20"/>
                    <w:snapToGrid/>
                    <w:spacing w:line="300" w:lineRule="exact"/>
                  </w:pPr>
                  <w:r>
                    <w:rPr>
                      <w:rFonts w:hint="eastAsia"/>
                      <w:lang w:val="en-US" w:eastAsia="zh-CN"/>
                    </w:rPr>
                    <w:t>4</w:t>
                  </w:r>
                  <w:r>
                    <w:rPr>
                      <w:rFonts w:hint="eastAsia"/>
                    </w:rPr>
                    <w:t>#</w:t>
                  </w:r>
                </w:p>
              </w:tc>
              <w:tc>
                <w:tcPr>
                  <w:tcW w:w="1943"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危废仓库</w:t>
                  </w:r>
                </w:p>
              </w:tc>
              <w:tc>
                <w:tcPr>
                  <w:tcW w:w="3875" w:type="dxa"/>
                  <w:tcBorders>
                    <w:top w:val="single" w:color="auto" w:sz="6" w:space="0"/>
                    <w:left w:val="single" w:color="auto" w:sz="6" w:space="0"/>
                    <w:bottom w:val="single" w:color="auto" w:sz="6" w:space="0"/>
                    <w:right w:val="single" w:color="auto" w:sz="6" w:space="0"/>
                  </w:tcBorders>
                  <w:vAlign w:val="center"/>
                </w:tcPr>
                <w:p>
                  <w:pPr>
                    <w:pStyle w:val="20"/>
                    <w:snapToGrid/>
                    <w:spacing w:line="300" w:lineRule="exact"/>
                  </w:pPr>
                  <w:r>
                    <w:rPr>
                      <w:rFonts w:hint="eastAsia"/>
                    </w:rPr>
                    <w:t>废活性炭、</w:t>
                  </w:r>
                  <w:r>
                    <w:rPr>
                      <w:rFonts w:hint="eastAsia"/>
                      <w:lang w:val="en-US" w:eastAsia="zh-CN"/>
                    </w:rPr>
                    <w:t>废油、废胶</w:t>
                  </w:r>
                  <w:r>
                    <w:rPr>
                      <w:rFonts w:hint="eastAsia"/>
                    </w:rPr>
                    <w:t>等</w:t>
                  </w:r>
                </w:p>
              </w:tc>
            </w:tr>
          </w:tbl>
          <w:p>
            <w:pPr>
              <w:pStyle w:val="6"/>
            </w:pPr>
            <w:r>
              <w:t>4.8.2可能影响途径</w:t>
            </w:r>
          </w:p>
          <w:p>
            <w:pPr>
              <w:ind w:firstLine="420"/>
            </w:pPr>
            <w:r>
              <w:rPr>
                <w:rFonts w:hint="eastAsia"/>
              </w:rPr>
              <w:t>根据分析，本项目危险物质可能影响途径为大气、地表水、地下水和土壤。</w:t>
            </w:r>
          </w:p>
          <w:p>
            <w:pPr>
              <w:ind w:firstLine="420"/>
            </w:pPr>
            <w:r>
              <w:t>大气：要求建设单位须做好安全防范措施，定期对废气收集、处理设施进行维护，使其处于正常运转状态，杜绝事故性排放；一旦发现废气收集、处理设施出现故障，须立即停止生产，待故障排除完毕、治理设施正常运行后方可恢复生产。</w:t>
            </w:r>
          </w:p>
          <w:p>
            <w:pPr>
              <w:ind w:firstLine="420"/>
            </w:pPr>
            <w:r>
              <w:t>地表水：</w:t>
            </w:r>
            <w:r>
              <w:rPr>
                <w:rFonts w:hint="eastAsia"/>
              </w:rPr>
              <w:t>原辅材料，特别是化学品</w:t>
            </w:r>
            <w:r>
              <w:t>运输过程</w:t>
            </w:r>
            <w:r>
              <w:rPr>
                <w:rFonts w:hint="eastAsia"/>
              </w:rPr>
              <w:t>若</w:t>
            </w:r>
            <w:r>
              <w:t>发生泄漏，则泄漏物料有可能进入水体。厂内储存过程如发生泄漏，则泄漏物料会进入</w:t>
            </w:r>
            <w:r>
              <w:rPr>
                <w:rFonts w:hint="eastAsia"/>
              </w:rPr>
              <w:t>雨水管道</w:t>
            </w:r>
            <w:r>
              <w:t>。在地面做好防渗防漏措施的情况下，泄漏可以得到有效控制，不会对周边地表水体产生明显影响。</w:t>
            </w:r>
          </w:p>
          <w:p>
            <w:pPr>
              <w:ind w:firstLine="420"/>
            </w:pPr>
            <w:r>
              <w:t>地下水和土壤：</w:t>
            </w:r>
            <w:r>
              <w:rPr>
                <w:rFonts w:hint="eastAsia"/>
              </w:rPr>
              <w:t>本项目产生的危险废物，若处置不当，如露天堆放，则可能会对周边水体及土壤、地下水产生二次污染。同时，在危险废物转移过程中，如包装发生破裂等原因导致危险废物遗失于环境中，则可能造成附近水体或土壤污染。另外化学品在运输或者贮存的过程中发生泄漏，也会可能渗入地下水和土壤，造成污染。要求企业做好化学品仓库、危废仓库等的防腐防渗防漏等措施。</w:t>
            </w:r>
          </w:p>
          <w:p>
            <w:pPr>
              <w:pStyle w:val="6"/>
            </w:pPr>
            <w:r>
              <w:t>4.8.3风险事故防范、减缓和应急措施</w:t>
            </w:r>
          </w:p>
          <w:p>
            <w:pPr>
              <w:ind w:firstLine="420"/>
            </w:pPr>
            <w:r>
              <w:rPr>
                <w:rFonts w:hint="eastAsia"/>
              </w:rPr>
              <w:t>（1）</w:t>
            </w:r>
            <w:r>
              <w:t>要求企业强化风险意识、加强安全管理，进行广泛系统的培训，使所有操作人员熟悉自己的岗位，树立严谨规范的操作作风，并且在任何紧急状况下都能随时对工艺装置进行控制，并及时、独立、正确地实施相关应急措施。</w:t>
            </w:r>
          </w:p>
          <w:p>
            <w:pPr>
              <w:ind w:firstLine="420"/>
            </w:pPr>
            <w:r>
              <w:rPr>
                <w:rFonts w:hint="eastAsia"/>
              </w:rPr>
              <w:t>（2）</w:t>
            </w:r>
            <w:r>
              <w:t>要求企业严格按照不同原料的性质分类贮存；液体原料桶四周必须设置围堰，地面及四周做防腐处理，防止泄漏液进入污水管道、附近水体或土壤；对各类原料的包装须定期进行检查，一旦发现有老化、破损现象须及时更换包装，杜绝风险事故的发生。</w:t>
            </w:r>
          </w:p>
          <w:p>
            <w:pPr>
              <w:ind w:firstLine="420"/>
            </w:pPr>
            <w:r>
              <w:rPr>
                <w:rFonts w:hint="eastAsia"/>
              </w:rPr>
              <w:t>（3）</w:t>
            </w:r>
            <w:r>
              <w:t>要求厂区内设置危险废物贮存场所，并按照《危险废物贮存污染控制标准》（GB18597-2023）的规定做好防雨淋、防渗漏、防流失</w:t>
            </w:r>
            <w:r>
              <w:rPr>
                <w:rFonts w:hint="eastAsia"/>
              </w:rPr>
              <w:t>等</w:t>
            </w:r>
            <w:r>
              <w:t>措施，各类危险废物平时收集后妥善贮存于危废贮存场所，液态危险废物贮存于密闭容器中，定期委托有资质单位处置。同时，建设单位在危险废物转移过程中须严格执行转移联单制度，并做好记录台账，防止危险废物在转移过程中发生遗失事故。</w:t>
            </w:r>
          </w:p>
          <w:p>
            <w:pPr>
              <w:ind w:firstLine="420"/>
            </w:pPr>
            <w:r>
              <w:rPr>
                <w:rFonts w:hint="eastAsia"/>
              </w:rPr>
              <w:t>（4）</w:t>
            </w:r>
            <w:r>
              <w:t>要求企业定期对企业</w:t>
            </w:r>
            <w:r>
              <w:rPr>
                <w:rFonts w:hint="eastAsia"/>
              </w:rPr>
              <w:t>雨污管道、污水治理设施</w:t>
            </w:r>
            <w:r>
              <w:t>、废气收集及处理设施</w:t>
            </w:r>
            <w:r>
              <w:rPr>
                <w:rFonts w:hint="eastAsia"/>
              </w:rPr>
              <w:t>等环保设施</w:t>
            </w:r>
            <w:r>
              <w:t>进行维护、修理，使其处于正常运转状态，杜绝事故性排放；一旦发现废水处理设施、废气收集及处理设施出现故障，须立即停止生产，待故障排除完毕、治理设施正常运行后方可恢复生产。</w:t>
            </w:r>
          </w:p>
          <w:p>
            <w:pPr>
              <w:ind w:firstLine="420"/>
            </w:pPr>
            <w:r>
              <w:rPr>
                <w:rFonts w:hint="eastAsia"/>
              </w:rPr>
              <w:t>（5）</w:t>
            </w:r>
            <w:r>
              <w:t>要求企业重视安全措施建设，除了配备必要的消防应急措施外，还应加强车间的通风设施建设，保证车间内良好通风。同时，车间内应杜绝明火，车间墙壁张贴相应警告标志，平时加强对生产设备的维护、检修，确保设备正常运行。</w:t>
            </w:r>
          </w:p>
          <w:p>
            <w:pPr>
              <w:ind w:firstLine="420"/>
            </w:pPr>
            <w:r>
              <w:rPr>
                <w:rFonts w:hint="eastAsia"/>
              </w:rPr>
              <w:t>（6）</w:t>
            </w:r>
            <w:r>
              <w:t>要求企业建立应急预案</w:t>
            </w:r>
            <w:r>
              <w:rPr>
                <w:rFonts w:hint="eastAsia"/>
              </w:rPr>
              <w:t>：</w:t>
            </w:r>
            <w:r>
              <w:t>企业</w:t>
            </w:r>
            <w:r>
              <w:rPr>
                <w:rFonts w:hint="eastAsia"/>
              </w:rPr>
              <w:t>应</w:t>
            </w:r>
            <w:r>
              <w:t>及时</w:t>
            </w:r>
            <w:r>
              <w:rPr>
                <w:rFonts w:hint="eastAsia"/>
              </w:rPr>
              <w:t>编制</w:t>
            </w:r>
            <w:r>
              <w:t>突发环境污染事件应急预案，并到生态环境部门备案，并按照应急预案的要求配备应急物资。</w:t>
            </w:r>
          </w:p>
          <w:p>
            <w:pPr>
              <w:ind w:firstLine="420"/>
            </w:pPr>
            <w:r>
              <w:rPr>
                <w:rFonts w:hint="eastAsia"/>
              </w:rPr>
              <w:t>（7）要求企业加强环保设施安全生产工作，严格落实《关于加强工业企业环保设施安全生产工作的指导意见》（浙应急基础〔2022〕143号）要求：应委托有相应资质的设计单位对项目废气处理设施等重点环保设施进行设计，新建环保设施应纳入项目管理，充分考虑安全风险，确保风险可控后方可施工和投入生产、使用。建设项目竣工后，应按照法律、法规规定的标准和程序，对环保设施进行验收，确保环保设施符合生态环境和安全生产要求，并形成书面报告。企业应建立环保设施台账和维护管理制度，对环保设施操作、危险作业等相关人员开展安全操作规程、风险防控、应急处置等专项安全教育培训。</w:t>
            </w:r>
          </w:p>
          <w:p>
            <w:pPr>
              <w:pStyle w:val="5"/>
              <w:spacing w:before="0"/>
              <w:rPr>
                <w:rFonts w:hint="default"/>
                <w:bCs w:val="0"/>
                <w:spacing w:val="-10"/>
              </w:rPr>
            </w:pPr>
            <w:r>
              <w:rPr>
                <w:bCs w:val="0"/>
                <w:spacing w:val="-10"/>
              </w:rPr>
              <w:t>4.9</w:t>
            </w:r>
            <w:r>
              <w:rPr>
                <w:bCs w:val="0"/>
              </w:rPr>
              <w:t>运营期</w:t>
            </w:r>
            <w:r>
              <w:rPr>
                <w:bCs w:val="0"/>
                <w:spacing w:val="-10"/>
              </w:rPr>
              <w:t>电磁辐射</w:t>
            </w:r>
            <w:r>
              <w:rPr>
                <w:bCs w:val="0"/>
              </w:rPr>
              <w:t>影响和保护措施</w:t>
            </w:r>
          </w:p>
          <w:p>
            <w:pPr>
              <w:ind w:firstLine="420"/>
              <w:rPr>
                <w:bCs/>
              </w:rPr>
            </w:pPr>
            <w:r>
              <w:rPr>
                <w:rFonts w:hint="eastAsia"/>
              </w:rPr>
              <w:t>本项目不涉及。</w:t>
            </w:r>
          </w:p>
        </w:tc>
      </w:tr>
    </w:tbl>
    <w:p>
      <w:pPr>
        <w:pStyle w:val="4"/>
        <w:numPr>
          <w:ilvl w:val="-1"/>
          <w:numId w:val="0"/>
        </w:numPr>
      </w:pPr>
      <w:bookmarkStart w:id="37" w:name="_Hlk54167917"/>
      <w:bookmarkStart w:id="38" w:name="_Toc4630"/>
      <w:bookmarkStart w:id="39" w:name="_Toc1901"/>
      <w:r>
        <w:rPr>
          <w:rFonts w:hint="eastAsia"/>
          <w:lang w:val="en-US" w:eastAsia="zh-CN"/>
        </w:rPr>
        <w:t>五、</w:t>
      </w:r>
      <w:r>
        <w:rPr>
          <w:rFonts w:hint="eastAsia"/>
        </w:rPr>
        <w:t>环境保护措施监督检查清单</w:t>
      </w:r>
      <w:bookmarkEnd w:id="37"/>
      <w:bookmarkEnd w:id="38"/>
      <w:bookmarkEnd w:id="39"/>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320"/>
        <w:gridCol w:w="1132"/>
        <w:gridCol w:w="2534"/>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类别</w:t>
            </w: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排放口(编号、名称)/污染源</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污染物项目</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环境保护措施</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Merge w:val="restart"/>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大气环境</w:t>
            </w: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lang w:val="en-US" w:eastAsia="zh-CN"/>
              </w:rPr>
            </w:pPr>
            <w:r>
              <w:rPr>
                <w:rFonts w:hint="eastAsia"/>
                <w:sz w:val="21"/>
                <w:szCs w:val="21"/>
              </w:rPr>
              <w:t>污水站废气排放口DA00</w:t>
            </w:r>
            <w:r>
              <w:rPr>
                <w:rFonts w:hint="eastAsia"/>
                <w:sz w:val="21"/>
                <w:szCs w:val="21"/>
                <w:lang w:val="en-US" w:eastAsia="zh-CN"/>
              </w:rPr>
              <w:t>7</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VOCs（以非甲烷总烃表征）、臭气浓度、氨、硫化氢</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碱喷淋+除雾+活性炭吸附</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非甲烷总烃执行《电池工业污染物排放标准》(GB30484-2013)表 5，锂离子/锂电池行业要求，氨、硫化氢、臭气浓度执行《恶臭污染物排放标准》（GB14554-93）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Merge w:val="continue"/>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rPr>
              <w:t>油烟废气排放口DA011</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rPr>
              <w:t>油烟</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rPr>
              <w:t>油烟净化器</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rPr>
              <w:t>《饮食业油烟排放标准（试行）》（GB18483-2001）中的大型规模排放限值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41" w:type="dxa"/>
            <w:vMerge w:val="continue"/>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无组织废气</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NMHC、颗粒物</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激光焊接、激光清洁废气除尘器处理后洁净车间内排放；</w:t>
            </w:r>
            <w:r>
              <w:rPr>
                <w:rFonts w:hint="eastAsia"/>
                <w:sz w:val="21"/>
                <w:szCs w:val="21"/>
                <w:lang w:val="en-US" w:eastAsia="zh-CN"/>
              </w:rPr>
              <w:t>涂胶废气、擦拭废气</w:t>
            </w:r>
            <w:r>
              <w:rPr>
                <w:rFonts w:hint="eastAsia"/>
                <w:sz w:val="21"/>
                <w:szCs w:val="21"/>
              </w:rPr>
              <w:t>；项目生产车间均为密闭式洁净厂房；</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《合成树脂工业污染物排放标准》（GB31572-2015）表9排放限值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地表水</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环境</w:t>
            </w: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lang w:val="en-US" w:eastAsia="zh-CN"/>
              </w:rPr>
            </w:pPr>
            <w:r>
              <w:rPr>
                <w:rFonts w:hint="eastAsia"/>
                <w:sz w:val="21"/>
                <w:szCs w:val="21"/>
                <w:lang w:val="en-US" w:eastAsia="zh-CN"/>
              </w:rPr>
              <w:t>生活污水</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sz w:val="21"/>
                <w:szCs w:val="21"/>
                <w:lang w:val="en-US" w:eastAsia="zh-CN"/>
              </w:rPr>
            </w:pPr>
            <w:r>
              <w:rPr>
                <w:rFonts w:hint="eastAsia"/>
                <w:sz w:val="21"/>
                <w:szCs w:val="21"/>
                <w:lang w:val="en-US" w:eastAsia="zh-CN"/>
              </w:rPr>
              <w:t>COD、氨氮、总磷、总氮等</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lang w:val="en-US" w:eastAsia="zh-CN"/>
              </w:rPr>
              <w:t>生活污水经化粪池处理后进入</w:t>
            </w:r>
            <w:r>
              <w:rPr>
                <w:rFonts w:hint="eastAsia"/>
                <w:sz w:val="21"/>
                <w:szCs w:val="21"/>
              </w:rPr>
              <w:t>污水处理站</w:t>
            </w:r>
            <w:r>
              <w:rPr>
                <w:rFonts w:hint="eastAsia"/>
                <w:sz w:val="21"/>
                <w:szCs w:val="21"/>
                <w:lang w:eastAsia="zh-CN"/>
              </w:rPr>
              <w:t>，</w:t>
            </w:r>
            <w:r>
              <w:rPr>
                <w:rFonts w:hint="eastAsia"/>
                <w:sz w:val="21"/>
                <w:szCs w:val="21"/>
                <w:lang w:val="en-US" w:eastAsia="zh-CN"/>
              </w:rPr>
              <w:t>与经处理的生产废水一起</w:t>
            </w:r>
            <w:r>
              <w:rPr>
                <w:rFonts w:hint="eastAsia"/>
                <w:sz w:val="21"/>
                <w:szCs w:val="21"/>
              </w:rPr>
              <w:t>达标后纳入市政污水管网，经尖山污水处理厂处理达标后排放。</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sz w:val="21"/>
                <w:szCs w:val="21"/>
              </w:rPr>
            </w:pPr>
            <w:r>
              <w:rPr>
                <w:rFonts w:hint="eastAsia"/>
                <w:sz w:val="21"/>
                <w:szCs w:val="21"/>
              </w:rPr>
              <w:t>《电池工业污染物排放标准》(GB30484-2013)中的表 2，新建企业水污染物间接排放限值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声环境</w:t>
            </w:r>
          </w:p>
        </w:tc>
        <w:tc>
          <w:tcPr>
            <w:tcW w:w="1320"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生产</w:t>
            </w:r>
            <w:r>
              <w:rPr>
                <w:sz w:val="21"/>
                <w:szCs w:val="21"/>
              </w:rPr>
              <w:t>车间</w:t>
            </w:r>
          </w:p>
        </w:tc>
        <w:tc>
          <w:tcPr>
            <w:tcW w:w="1132"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设备噪声</w:t>
            </w:r>
          </w:p>
        </w:tc>
        <w:tc>
          <w:tcPr>
            <w:tcW w:w="2534"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①合理布置车间，尽量将高噪声源布置在车间中央。</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②注意设备安装，安装中对高噪声设备须采取减震、隔震措施。</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③生产车间的墙壁、房顶应尽量采用吸声材料及隔声结构（墙壁、地面），并在生产期间门窗关闭。</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④设备保养，平时生产中加强对各设备的维修保养，对其主要磨损部位及时添加润滑油，确保设备处于良好的运转状态，杜绝因设备不正常运转时产生的高噪声现象。</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⑤加强厂区绿化，加强对员工的环保教育，合理安排作业时间，文明操作，轻拿轻放。</w:t>
            </w:r>
          </w:p>
        </w:tc>
        <w:tc>
          <w:tcPr>
            <w:tcW w:w="2793"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营运期厂界噪声执行《工业企业厂界环境噪声排放标准》（GB12348-2008）中的3类</w:t>
            </w:r>
            <w:r>
              <w:rPr>
                <w:rFonts w:hint="eastAsia"/>
                <w:sz w:val="21"/>
                <w:szCs w:val="21"/>
                <w:lang w:eastAsia="zh-CN"/>
              </w:rPr>
              <w:t>、</w:t>
            </w:r>
            <w:r>
              <w:rPr>
                <w:rFonts w:hint="eastAsia"/>
                <w:sz w:val="21"/>
                <w:szCs w:val="21"/>
                <w:lang w:val="en-US" w:eastAsia="zh-CN"/>
              </w:rPr>
              <w:t>4类</w:t>
            </w:r>
            <w:r>
              <w:rPr>
                <w:sz w:val="21"/>
                <w:szCs w:val="21"/>
              </w:rPr>
              <w:t>标准</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电磁辐射</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固体废物</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本项目危废委托有资质的单位处置，一般工业固废外卖综合利用。本项目产生的固废可得到有效的处置，做到资源化、无害化。要求企业做好固废管理，对周围环境影响较小。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土壤及地下水污染防治措施</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rFonts w:hint="eastAsia"/>
                <w:sz w:val="21"/>
                <w:szCs w:val="21"/>
              </w:rPr>
              <w:t>本项目各功能区均采取“源头控制”、“分区防控”的防渗措施。可以有效保证污染物不会进入地下水、土壤环境；而且厂区内地面采取硬化防渗建设，因此，项目正常工况下不存在土壤、地下水污染途径，对所在地土壤、地下水环境造成污染可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生态保护措施</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环境风险</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防范措施</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1 \* GB3 \* MERGEFORMAT </w:instrText>
            </w:r>
            <w:r>
              <w:rPr>
                <w:sz w:val="21"/>
                <w:szCs w:val="21"/>
              </w:rPr>
              <w:fldChar w:fldCharType="separate"/>
            </w:r>
            <w:r>
              <w:rPr>
                <w:sz w:val="21"/>
                <w:szCs w:val="21"/>
              </w:rPr>
              <w:t>①</w:t>
            </w:r>
            <w:r>
              <w:rPr>
                <w:sz w:val="21"/>
                <w:szCs w:val="21"/>
              </w:rPr>
              <w:fldChar w:fldCharType="end"/>
            </w:r>
            <w:r>
              <w:rPr>
                <w:rFonts w:hint="eastAsia"/>
                <w:sz w:val="21"/>
                <w:szCs w:val="21"/>
              </w:rPr>
              <w:t>要求企业强化风险意识、加强安全管理，进行广泛系统的培训，使所有操作人员熟悉自己的岗位，树立严谨规范的操作作风，并且在任何紧急状况下都能随时对工艺装置进行控制，并及时、独立、正确地实施相关应急措施</w:t>
            </w:r>
            <w:r>
              <w:rPr>
                <w:sz w:val="21"/>
                <w:szCs w:val="21"/>
              </w:rPr>
              <w:t>。</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2 \* GB3 \* MERGEFORMAT </w:instrText>
            </w:r>
            <w:r>
              <w:rPr>
                <w:sz w:val="21"/>
                <w:szCs w:val="21"/>
              </w:rPr>
              <w:fldChar w:fldCharType="separate"/>
            </w:r>
            <w:r>
              <w:rPr>
                <w:sz w:val="21"/>
                <w:szCs w:val="21"/>
              </w:rPr>
              <w:t>②</w:t>
            </w:r>
            <w:r>
              <w:rPr>
                <w:sz w:val="21"/>
                <w:szCs w:val="21"/>
              </w:rPr>
              <w:fldChar w:fldCharType="end"/>
            </w:r>
            <w:r>
              <w:rPr>
                <w:rFonts w:hint="eastAsia"/>
                <w:sz w:val="21"/>
                <w:szCs w:val="21"/>
              </w:rPr>
              <w:t>要求企业严格按照不同原辅料的性质分类贮存，防止原辅料泄漏液进入附近水体或土壤；对各类原料的包装须定期进行检查，一旦发现有老化、破损现象须及时更换包装，杜绝风险事故的发生</w:t>
            </w:r>
            <w:r>
              <w:rPr>
                <w:sz w:val="21"/>
                <w:szCs w:val="21"/>
              </w:rPr>
              <w:t>。</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3 \* GB3 \* MERGEFORMAT </w:instrText>
            </w:r>
            <w:r>
              <w:rPr>
                <w:sz w:val="21"/>
                <w:szCs w:val="21"/>
              </w:rPr>
              <w:fldChar w:fldCharType="separate"/>
            </w:r>
            <w:r>
              <w:rPr>
                <w:sz w:val="21"/>
                <w:szCs w:val="21"/>
              </w:rPr>
              <w:t>③</w:t>
            </w:r>
            <w:r>
              <w:rPr>
                <w:sz w:val="21"/>
                <w:szCs w:val="21"/>
              </w:rPr>
              <w:fldChar w:fldCharType="end"/>
            </w:r>
            <w:r>
              <w:rPr>
                <w:sz w:val="21"/>
                <w:szCs w:val="21"/>
              </w:rPr>
              <w:t>要求企业定期对企业雨污管道、污水治理设施、废气收集及处理设施等环保设施进行维护、修理，使其处于正常运转状态，杜绝事故性排放；一旦发现废水处理设施、废气收集及处理设施出现故障，须立即停止生产，待故障排除完毕、治理设施正常运行后方可恢复生产。</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4 \* GB3 \* MERGEFORMAT </w:instrText>
            </w:r>
            <w:r>
              <w:rPr>
                <w:sz w:val="21"/>
                <w:szCs w:val="21"/>
              </w:rPr>
              <w:fldChar w:fldCharType="separate"/>
            </w:r>
            <w:r>
              <w:rPr>
                <w:sz w:val="21"/>
                <w:szCs w:val="21"/>
              </w:rPr>
              <w:t>④</w:t>
            </w:r>
            <w:r>
              <w:rPr>
                <w:sz w:val="21"/>
                <w:szCs w:val="21"/>
              </w:rPr>
              <w:fldChar w:fldCharType="end"/>
            </w:r>
            <w:r>
              <w:rPr>
                <w:sz w:val="21"/>
                <w:szCs w:val="21"/>
              </w:rPr>
              <w:t>要求企业重视安全措施建设，除了配备必要的消防应急措施外，还应加强车间的通风设施建设，保证车间内良好通风。同时，车间内应杜绝明火，车间墙壁张贴相应警告标志，平时加强对生产设备的维护、检修，确保设备正常运行。</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5 \* GB3 \* MERGEFORMAT </w:instrText>
            </w:r>
            <w:r>
              <w:rPr>
                <w:sz w:val="21"/>
                <w:szCs w:val="21"/>
              </w:rPr>
              <w:fldChar w:fldCharType="separate"/>
            </w:r>
            <w:r>
              <w:rPr>
                <w:sz w:val="21"/>
                <w:szCs w:val="21"/>
              </w:rPr>
              <w:t>⑤</w:t>
            </w:r>
            <w:r>
              <w:rPr>
                <w:sz w:val="21"/>
                <w:szCs w:val="21"/>
              </w:rPr>
              <w:fldChar w:fldCharType="end"/>
            </w:r>
            <w:r>
              <w:rPr>
                <w:sz w:val="21"/>
                <w:szCs w:val="21"/>
              </w:rPr>
              <w:t>要求企业建立应急预案</w:t>
            </w:r>
            <w:r>
              <w:rPr>
                <w:rFonts w:hint="eastAsia"/>
                <w:sz w:val="21"/>
                <w:szCs w:val="21"/>
              </w:rPr>
              <w:t>：</w:t>
            </w:r>
            <w:r>
              <w:rPr>
                <w:sz w:val="21"/>
                <w:szCs w:val="21"/>
              </w:rPr>
              <w:t>企业</w:t>
            </w:r>
            <w:r>
              <w:rPr>
                <w:rFonts w:hint="eastAsia"/>
                <w:sz w:val="21"/>
                <w:szCs w:val="21"/>
              </w:rPr>
              <w:t>应</w:t>
            </w:r>
            <w:r>
              <w:rPr>
                <w:sz w:val="21"/>
                <w:szCs w:val="21"/>
              </w:rPr>
              <w:t>及时编制突发环境污染事件应急预案，并到生态环境部门备案，并按照应急预案的要求配备应急物资。</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sz w:val="21"/>
                <w:szCs w:val="21"/>
              </w:rPr>
              <w:fldChar w:fldCharType="begin"/>
            </w:r>
            <w:r>
              <w:rPr>
                <w:sz w:val="21"/>
                <w:szCs w:val="21"/>
              </w:rPr>
              <w:instrText xml:space="preserve"> = 6 \* GB3 \* MERGEFORMAT </w:instrText>
            </w:r>
            <w:r>
              <w:rPr>
                <w:sz w:val="21"/>
                <w:szCs w:val="21"/>
              </w:rPr>
              <w:fldChar w:fldCharType="separate"/>
            </w:r>
            <w:r>
              <w:rPr>
                <w:sz w:val="21"/>
                <w:szCs w:val="21"/>
              </w:rPr>
              <w:t>⑥</w:t>
            </w:r>
            <w:r>
              <w:rPr>
                <w:sz w:val="21"/>
                <w:szCs w:val="21"/>
              </w:rPr>
              <w:fldChar w:fldCharType="end"/>
            </w:r>
            <w:r>
              <w:rPr>
                <w:rFonts w:hint="eastAsia"/>
                <w:sz w:val="21"/>
                <w:szCs w:val="21"/>
              </w:rPr>
              <w:t>要求企业加强环保设施安全生产工作，严格落实《关于加强工业企业环保设施安全生产工作的指导意见》（浙应急基础〔2022〕143号）要求；委托有相应资质的设计单位对项目废气处理设施等重点环保设施进行设计，并纳入项目管理，充分考虑安全风险；建立环保设施台账和维护管理制度，对环保设施操作、危险作业等相关人员开展安全操作规程、风险防控、应急处置等专项安全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sz w:val="21"/>
                <w:szCs w:val="21"/>
              </w:rPr>
            </w:pPr>
            <w:r>
              <w:rPr>
                <w:sz w:val="21"/>
                <w:szCs w:val="21"/>
              </w:rPr>
              <w:t>其他环境管理要求</w:t>
            </w:r>
          </w:p>
        </w:tc>
        <w:tc>
          <w:tcPr>
            <w:tcW w:w="7779" w:type="dxa"/>
            <w:gridSpan w:val="4"/>
            <w:vAlign w:val="center"/>
          </w:tcPr>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rFonts w:hint="eastAsia" w:eastAsia="宋体"/>
                <w:sz w:val="21"/>
                <w:szCs w:val="21"/>
                <w:lang w:eastAsia="zh-CN"/>
              </w:rPr>
            </w:pPr>
            <w:r>
              <w:rPr>
                <w:sz w:val="21"/>
                <w:szCs w:val="21"/>
              </w:rPr>
              <w:fldChar w:fldCharType="begin"/>
            </w:r>
            <w:r>
              <w:rPr>
                <w:sz w:val="21"/>
                <w:szCs w:val="21"/>
              </w:rPr>
              <w:instrText xml:space="preserve"> = 1 \* GB3 \* MERGEFORMAT </w:instrText>
            </w:r>
            <w:r>
              <w:rPr>
                <w:sz w:val="21"/>
                <w:szCs w:val="21"/>
              </w:rPr>
              <w:fldChar w:fldCharType="separate"/>
            </w:r>
            <w:r>
              <w:rPr>
                <w:sz w:val="21"/>
                <w:szCs w:val="21"/>
              </w:rPr>
              <w:t>①</w:t>
            </w:r>
            <w:r>
              <w:rPr>
                <w:sz w:val="21"/>
                <w:szCs w:val="21"/>
              </w:rPr>
              <w:fldChar w:fldCharType="end"/>
            </w:r>
            <w:r>
              <w:rPr>
                <w:sz w:val="21"/>
                <w:szCs w:val="21"/>
              </w:rPr>
              <w:t>按本环评提出的各项要求严格落实污染治理设施和措施</w:t>
            </w:r>
            <w:r>
              <w:rPr>
                <w:rFonts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rFonts w:hint="eastAsia" w:eastAsia="宋体"/>
                <w:sz w:val="21"/>
                <w:szCs w:val="21"/>
                <w:lang w:eastAsia="zh-CN"/>
              </w:rPr>
            </w:pPr>
            <w:r>
              <w:rPr>
                <w:sz w:val="21"/>
                <w:szCs w:val="21"/>
              </w:rPr>
              <w:fldChar w:fldCharType="begin"/>
            </w:r>
            <w:r>
              <w:rPr>
                <w:sz w:val="21"/>
                <w:szCs w:val="21"/>
              </w:rPr>
              <w:instrText xml:space="preserve"> = 2 \* GB3 \* MERGEFORMAT </w:instrText>
            </w:r>
            <w:r>
              <w:rPr>
                <w:sz w:val="21"/>
                <w:szCs w:val="21"/>
              </w:rPr>
              <w:fldChar w:fldCharType="separate"/>
            </w:r>
            <w:r>
              <w:rPr>
                <w:sz w:val="21"/>
                <w:szCs w:val="21"/>
              </w:rPr>
              <w:t>②</w:t>
            </w:r>
            <w:r>
              <w:rPr>
                <w:sz w:val="21"/>
                <w:szCs w:val="21"/>
              </w:rPr>
              <w:fldChar w:fldCharType="end"/>
            </w:r>
            <w:r>
              <w:rPr>
                <w:sz w:val="21"/>
                <w:szCs w:val="21"/>
              </w:rPr>
              <w:t>及时完成本项目环保</w:t>
            </w:r>
            <w:r>
              <w:rPr>
                <w:rFonts w:hint="eastAsia"/>
                <w:sz w:val="21"/>
                <w:szCs w:val="21"/>
              </w:rPr>
              <w:t>“</w:t>
            </w:r>
            <w:r>
              <w:rPr>
                <w:sz w:val="21"/>
                <w:szCs w:val="21"/>
              </w:rPr>
              <w:t>三同时</w:t>
            </w:r>
            <w:r>
              <w:rPr>
                <w:rFonts w:hint="eastAsia"/>
                <w:sz w:val="21"/>
                <w:szCs w:val="21"/>
              </w:rPr>
              <w:t>”</w:t>
            </w:r>
            <w:r>
              <w:rPr>
                <w:sz w:val="21"/>
                <w:szCs w:val="21"/>
              </w:rPr>
              <w:t>验收</w:t>
            </w:r>
            <w:r>
              <w:rPr>
                <w:rFonts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rFonts w:hint="eastAsia"/>
                <w:sz w:val="21"/>
                <w:szCs w:val="21"/>
                <w:lang w:val="en-US" w:eastAsia="zh-CN"/>
              </w:rPr>
            </w:pPr>
            <w:r>
              <w:rPr>
                <w:rFonts w:hint="eastAsia"/>
                <w:sz w:val="21"/>
                <w:szCs w:val="21"/>
                <w:lang w:val="en-US" w:eastAsia="zh-CN"/>
              </w:rPr>
              <w:t>③.应建立环境管理台账制度，设置专人开展台账记录、整理、维护等管理工作，包括污染治理设施运行管理信息、危险废物管理信息、监测记录信息等。台账记录频次和内容须满足排污许可证环境管理要求，台账保存期限不得少于五年；</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rFonts w:hint="default"/>
                <w:sz w:val="21"/>
                <w:szCs w:val="21"/>
                <w:lang w:val="en-US" w:eastAsia="zh-CN"/>
              </w:rPr>
            </w:pPr>
            <w:r>
              <w:rPr>
                <w:rFonts w:hint="eastAsia"/>
                <w:sz w:val="21"/>
                <w:szCs w:val="21"/>
                <w:lang w:val="en-US" w:eastAsia="zh-CN"/>
              </w:rPr>
              <w:t>④落实监测监控制度，按照监测要求开展废水、废气、噪声监测；</w:t>
            </w:r>
          </w:p>
          <w:p>
            <w:pPr>
              <w:keepNext w:val="0"/>
              <w:keepLines w:val="0"/>
              <w:pageBreakBefore w:val="0"/>
              <w:widowControl w:val="0"/>
              <w:kinsoku/>
              <w:wordWrap/>
              <w:overflowPunct/>
              <w:topLinePunct w:val="0"/>
              <w:autoSpaceDE/>
              <w:autoSpaceDN/>
              <w:bidi w:val="0"/>
              <w:adjustRightInd/>
              <w:snapToGrid w:val="0"/>
              <w:ind w:firstLine="0" w:firstLineChars="0"/>
              <w:jc w:val="left"/>
              <w:textAlignment w:val="auto"/>
              <w:rPr>
                <w:sz w:val="21"/>
                <w:szCs w:val="21"/>
              </w:rPr>
            </w:pPr>
            <w:r>
              <w:rPr>
                <w:rFonts w:hint="eastAsia"/>
                <w:sz w:val="21"/>
                <w:szCs w:val="21"/>
                <w:lang w:val="en-US" w:eastAsia="zh-CN"/>
              </w:rPr>
              <w:t>⑤</w:t>
            </w:r>
            <w:r>
              <w:rPr>
                <w:rFonts w:hint="eastAsia"/>
                <w:sz w:val="21"/>
                <w:szCs w:val="21"/>
              </w:rPr>
              <w:t>企业现有项目已核发排污许可证，排污许可证编号：91330481MACH1XP84W001Q，管理类别：</w:t>
            </w:r>
            <w:r>
              <w:rPr>
                <w:rFonts w:hint="eastAsia"/>
                <w:sz w:val="21"/>
                <w:szCs w:val="21"/>
                <w:lang w:val="en-US" w:eastAsia="zh-CN"/>
              </w:rPr>
              <w:t>简化</w:t>
            </w:r>
            <w:r>
              <w:rPr>
                <w:rFonts w:hint="eastAsia"/>
                <w:sz w:val="21"/>
                <w:szCs w:val="21"/>
              </w:rPr>
              <w:t>管理。项目环评完成审批后，需要进入全国排污许可证管理信息平台公开端—许可证重新申请界面，补充完善本扩建项目内容，重新申请排污许可证。</w:t>
            </w:r>
          </w:p>
        </w:tc>
      </w:tr>
    </w:tbl>
    <w:p>
      <w:pPr>
        <w:ind w:firstLine="420"/>
      </w:pPr>
      <w:r>
        <w:br w:type="page"/>
      </w:r>
    </w:p>
    <w:p>
      <w:pPr>
        <w:pStyle w:val="4"/>
        <w:numPr>
          <w:ilvl w:val="-1"/>
          <w:numId w:val="0"/>
        </w:numPr>
      </w:pPr>
      <w:bookmarkStart w:id="40" w:name="_Toc6157"/>
      <w:bookmarkStart w:id="41" w:name="_Toc30161_WPSOffice_Level1"/>
      <w:bookmarkStart w:id="42" w:name="_Toc13254"/>
      <w:bookmarkStart w:id="43" w:name="_Toc15621"/>
      <w:r>
        <w:rPr>
          <w:rFonts w:hint="eastAsia"/>
          <w:lang w:val="en-US" w:eastAsia="zh-CN"/>
        </w:rPr>
        <w:t>六、</w:t>
      </w:r>
      <w:r>
        <w:rPr>
          <w:rFonts w:hint="eastAsia"/>
        </w:rPr>
        <w:t>结论</w:t>
      </w:r>
      <w:bookmarkEnd w:id="40"/>
      <w:bookmarkEnd w:id="41"/>
      <w:bookmarkEnd w:id="42"/>
      <w:bookmarkEnd w:id="43"/>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9" w:hRule="atLeast"/>
        </w:trPr>
        <w:tc>
          <w:tcPr>
            <w:tcW w:w="8720" w:type="dxa"/>
          </w:tcPr>
          <w:p>
            <w:pPr>
              <w:ind w:firstLine="420"/>
            </w:pPr>
            <w:r>
              <w:rPr>
                <w:rFonts w:hint="eastAsia"/>
              </w:rPr>
              <w:t>本项目位于</w:t>
            </w:r>
            <w:r>
              <w:rPr>
                <w:rFonts w:hint="eastAsia"/>
                <w:lang w:val="en-US" w:eastAsia="zh-CN"/>
              </w:rPr>
              <w:t>嘉兴市海宁市</w:t>
            </w:r>
            <w:r>
              <w:rPr>
                <w:rFonts w:hint="eastAsia"/>
              </w:rPr>
              <w:t>黄湾镇尖山新区向心路8号，用地性质属工业用地，选址符合海宁市“三线一单”生态环境分区管控方案</w:t>
            </w:r>
            <w:r>
              <w:rPr>
                <w:rFonts w:hint="eastAsia"/>
                <w:lang w:eastAsia="zh-CN"/>
              </w:rPr>
              <w:t>，符合规划及规划环评要求，符合所在地功能区环境质量、污染物达标排放和总量控制原则</w:t>
            </w:r>
            <w:r>
              <w:rPr>
                <w:rFonts w:hint="eastAsia"/>
              </w:rPr>
              <w:t>。本项目主要从事储能系统的生产，符合国家和地方相关产业政策；项目的技术和装备基本达到清洁生产要求；产生的各种污染物经相应措施处理后能做到达标排放。项目运行产生的污染物经治理达标后对当地的环境影响不大，环境质量仍能维持现状，符合可持续发展的要求，可实现社会效益、经济效益和环境效益三统一。</w:t>
            </w:r>
          </w:p>
          <w:p>
            <w:pPr>
              <w:ind w:firstLine="420"/>
            </w:pPr>
            <w:r>
              <w:rPr>
                <w:rFonts w:hint="eastAsia"/>
              </w:rPr>
              <w:t>综上所述，从环保角度来看，本项目的实施是可行的</w:t>
            </w:r>
            <w:r>
              <w:t>。</w:t>
            </w:r>
          </w:p>
          <w:p>
            <w:pPr>
              <w:ind w:firstLine="422" w:firstLineChars="200"/>
            </w:pPr>
            <w:r>
              <w:rPr>
                <w:b/>
              </w:rPr>
              <w:t>上述评价结果是仅根据建设方提供的规模、工艺、布局所作出的，如建设方产品方案、工艺、设备等生产情况有大的变动或平面布局有重大调整，建设方必须按照建设项目环境管理程序要求，及时向有关部门进行申报审批。</w:t>
            </w:r>
          </w:p>
        </w:tc>
      </w:tr>
    </w:tbl>
    <w:p>
      <w:pPr>
        <w:widowControl/>
        <w:adjustRightInd w:val="0"/>
        <w:spacing w:line="240" w:lineRule="auto"/>
        <w:ind w:firstLine="640"/>
        <w:outlineLvl w:val="0"/>
        <w:rPr>
          <w:rFonts w:ascii="宋体" w:hAnsi="宋体" w:cs="宋体"/>
          <w:snapToGrid w:val="0"/>
          <w:kern w:val="21"/>
          <w:sz w:val="32"/>
          <w:szCs w:val="32"/>
        </w:rPr>
        <w:sectPr>
          <w:pgSz w:w="11906" w:h="16838"/>
          <w:pgMar w:top="1134" w:right="1701" w:bottom="1134" w:left="1701" w:header="851" w:footer="992" w:gutter="0"/>
          <w:pgNumType w:fmt="decimal"/>
          <w:cols w:space="425" w:num="1"/>
          <w:docGrid w:type="lines" w:linePitch="312" w:charSpace="0"/>
        </w:sectPr>
      </w:pPr>
    </w:p>
    <w:p>
      <w:pPr>
        <w:widowControl/>
        <w:adjustRightInd w:val="0"/>
        <w:spacing w:line="440" w:lineRule="exact"/>
        <w:ind w:firstLine="0" w:firstLineChars="0"/>
        <w:outlineLvl w:val="0"/>
        <w:rPr>
          <w:rFonts w:ascii="宋体" w:hAnsi="宋体" w:cs="宋体"/>
          <w:snapToGrid w:val="0"/>
          <w:kern w:val="21"/>
        </w:rPr>
      </w:pPr>
      <w:bookmarkStart w:id="44" w:name="_Toc24602"/>
      <w:r>
        <w:rPr>
          <w:rFonts w:hint="eastAsia" w:ascii="宋体" w:hAnsi="宋体" w:cs="宋体"/>
          <w:snapToGrid w:val="0"/>
          <w:kern w:val="21"/>
          <w:sz w:val="32"/>
          <w:szCs w:val="32"/>
        </w:rPr>
        <w:t>附表</w:t>
      </w:r>
      <w:bookmarkEnd w:id="44"/>
    </w:p>
    <w:p>
      <w:pPr>
        <w:widowControl/>
        <w:adjustRightInd w:val="0"/>
        <w:spacing w:line="440" w:lineRule="exact"/>
        <w:ind w:firstLine="0" w:firstLineChars="0"/>
        <w:jc w:val="center"/>
        <w:rPr>
          <w:rFonts w:hint="eastAsia" w:ascii="宋体" w:hAnsi="宋体" w:cs="宋体"/>
          <w:snapToGrid w:val="0"/>
          <w:kern w:val="21"/>
          <w:sz w:val="44"/>
          <w:szCs w:val="44"/>
        </w:rPr>
      </w:pPr>
      <w:r>
        <w:rPr>
          <w:rFonts w:hint="eastAsia" w:ascii="宋体" w:hAnsi="宋体" w:cs="宋体"/>
          <w:snapToGrid w:val="0"/>
          <w:kern w:val="21"/>
          <w:sz w:val="44"/>
          <w:szCs w:val="44"/>
        </w:rPr>
        <w:t>建设项目污染物排放量汇总表</w:t>
      </w:r>
      <w:r>
        <w:rPr>
          <w:rFonts w:ascii="Times New Roman" w:hAnsi="Times New Roman" w:eastAsia="方正小标宋_GBK"/>
          <w:snapToGrid w:val="0"/>
          <w:sz w:val="18"/>
          <w:szCs w:val="18"/>
        </w:rPr>
        <w:t xml:space="preserve">   </w:t>
      </w:r>
      <w:r>
        <w:rPr>
          <w:rFonts w:hint="eastAsia" w:ascii="宋体" w:hAnsi="宋体" w:cs="宋体"/>
          <w:snapToGrid w:val="0"/>
          <w:kern w:val="21"/>
          <w:sz w:val="44"/>
          <w:szCs w:val="44"/>
        </w:rPr>
        <w:t xml:space="preserve">   </w:t>
      </w:r>
      <w:bookmarkStart w:id="45" w:name="_Toc24137"/>
      <w:r>
        <w:rPr>
          <w:rFonts w:hint="eastAsia" w:ascii="宋体" w:hAnsi="宋体" w:cs="宋体"/>
          <w:snapToGrid w:val="0"/>
          <w:kern w:val="21"/>
          <w:sz w:val="44"/>
          <w:szCs w:val="44"/>
        </w:rPr>
        <w:t>单位：t/a</w:t>
      </w:r>
      <w:bookmarkEnd w:id="45"/>
    </w:p>
    <w:tbl>
      <w:tblPr>
        <w:tblStyle w:val="15"/>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513"/>
        <w:gridCol w:w="1739"/>
        <w:gridCol w:w="1597"/>
        <w:gridCol w:w="1522"/>
        <w:gridCol w:w="1685"/>
        <w:gridCol w:w="1773"/>
        <w:gridCol w:w="1666"/>
        <w:gridCol w:w="13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24" w:type="dxa"/>
            <w:tcBorders>
              <w:tl2br w:val="single" w:color="auto" w:sz="4" w:space="0"/>
            </w:tcBorders>
            <w:tcMar>
              <w:left w:w="28" w:type="dxa"/>
              <w:right w:w="28" w:type="dxa"/>
            </w:tcMar>
            <w:vAlign w:val="center"/>
          </w:tcPr>
          <w:p>
            <w:pPr>
              <w:pStyle w:val="20"/>
              <w:spacing w:line="240" w:lineRule="auto"/>
              <w:jc w:val="right"/>
              <w:rPr>
                <w:sz w:val="18"/>
                <w:szCs w:val="18"/>
              </w:rPr>
            </w:pPr>
            <w:r>
              <w:rPr>
                <w:sz w:val="18"/>
                <w:szCs w:val="18"/>
              </w:rPr>
              <w:t>项目</w:t>
            </w:r>
          </w:p>
          <w:p>
            <w:pPr>
              <w:pStyle w:val="20"/>
              <w:spacing w:line="240" w:lineRule="auto"/>
              <w:jc w:val="left"/>
              <w:rPr>
                <w:sz w:val="18"/>
                <w:szCs w:val="18"/>
              </w:rPr>
            </w:pPr>
            <w:r>
              <w:rPr>
                <w:sz w:val="18"/>
                <w:szCs w:val="18"/>
              </w:rPr>
              <w:t>分类</w:t>
            </w:r>
          </w:p>
        </w:tc>
        <w:tc>
          <w:tcPr>
            <w:tcW w:w="1513" w:type="dxa"/>
            <w:tcMar>
              <w:left w:w="28" w:type="dxa"/>
              <w:right w:w="28" w:type="dxa"/>
            </w:tcMar>
            <w:vAlign w:val="center"/>
          </w:tcPr>
          <w:p>
            <w:pPr>
              <w:pStyle w:val="20"/>
              <w:spacing w:line="240" w:lineRule="auto"/>
              <w:rPr>
                <w:sz w:val="18"/>
                <w:szCs w:val="18"/>
              </w:rPr>
            </w:pPr>
            <w:r>
              <w:rPr>
                <w:sz w:val="18"/>
                <w:szCs w:val="18"/>
              </w:rPr>
              <w:t>污染物名称</w:t>
            </w:r>
          </w:p>
        </w:tc>
        <w:tc>
          <w:tcPr>
            <w:tcW w:w="1739" w:type="dxa"/>
            <w:tcMar>
              <w:left w:w="28" w:type="dxa"/>
              <w:right w:w="28" w:type="dxa"/>
            </w:tcMar>
            <w:vAlign w:val="center"/>
          </w:tcPr>
          <w:p>
            <w:pPr>
              <w:pStyle w:val="20"/>
              <w:spacing w:line="240" w:lineRule="auto"/>
              <w:rPr>
                <w:sz w:val="18"/>
                <w:szCs w:val="18"/>
              </w:rPr>
            </w:pPr>
            <w:r>
              <w:rPr>
                <w:sz w:val="18"/>
                <w:szCs w:val="18"/>
              </w:rPr>
              <w:t>现有工程排放量（固体废物产生量）</w:t>
            </w:r>
            <w:r>
              <w:rPr>
                <w:sz w:val="18"/>
                <w:szCs w:val="18"/>
              </w:rPr>
              <w:fldChar w:fldCharType="begin"/>
            </w:r>
            <w:r>
              <w:rPr>
                <w:sz w:val="18"/>
                <w:szCs w:val="18"/>
              </w:rPr>
              <w:instrText xml:space="preserve"> = 1 \* GB3 \* MERGEFORMAT </w:instrText>
            </w:r>
            <w:r>
              <w:rPr>
                <w:sz w:val="18"/>
                <w:szCs w:val="18"/>
              </w:rPr>
              <w:fldChar w:fldCharType="separate"/>
            </w:r>
            <w:r>
              <w:rPr>
                <w:sz w:val="18"/>
                <w:szCs w:val="18"/>
              </w:rPr>
              <w:t>①</w:t>
            </w:r>
            <w:r>
              <w:rPr>
                <w:sz w:val="18"/>
                <w:szCs w:val="18"/>
              </w:rPr>
              <w:fldChar w:fldCharType="end"/>
            </w:r>
          </w:p>
        </w:tc>
        <w:tc>
          <w:tcPr>
            <w:tcW w:w="1597" w:type="dxa"/>
            <w:tcMar>
              <w:left w:w="28" w:type="dxa"/>
              <w:right w:w="28" w:type="dxa"/>
            </w:tcMar>
            <w:vAlign w:val="center"/>
          </w:tcPr>
          <w:p>
            <w:pPr>
              <w:pStyle w:val="20"/>
              <w:spacing w:line="240" w:lineRule="auto"/>
              <w:rPr>
                <w:sz w:val="18"/>
                <w:szCs w:val="18"/>
              </w:rPr>
            </w:pPr>
            <w:r>
              <w:rPr>
                <w:sz w:val="18"/>
                <w:szCs w:val="18"/>
              </w:rPr>
              <w:t>现有工程许可排放量</w:t>
            </w:r>
            <w:r>
              <w:rPr>
                <w:sz w:val="18"/>
                <w:szCs w:val="18"/>
              </w:rPr>
              <w:fldChar w:fldCharType="begin"/>
            </w:r>
            <w:r>
              <w:rPr>
                <w:sz w:val="18"/>
                <w:szCs w:val="18"/>
              </w:rPr>
              <w:instrText xml:space="preserve"> = 2 \* GB3 \* MERGEFORMAT </w:instrText>
            </w:r>
            <w:r>
              <w:rPr>
                <w:sz w:val="18"/>
                <w:szCs w:val="18"/>
              </w:rPr>
              <w:fldChar w:fldCharType="separate"/>
            </w:r>
            <w:r>
              <w:rPr>
                <w:sz w:val="18"/>
                <w:szCs w:val="18"/>
              </w:rPr>
              <w:t>②</w:t>
            </w:r>
            <w:r>
              <w:rPr>
                <w:sz w:val="18"/>
                <w:szCs w:val="18"/>
              </w:rPr>
              <w:fldChar w:fldCharType="end"/>
            </w:r>
          </w:p>
        </w:tc>
        <w:tc>
          <w:tcPr>
            <w:tcW w:w="1522" w:type="dxa"/>
            <w:tcMar>
              <w:left w:w="28" w:type="dxa"/>
              <w:right w:w="28" w:type="dxa"/>
            </w:tcMar>
            <w:vAlign w:val="center"/>
          </w:tcPr>
          <w:p>
            <w:pPr>
              <w:pStyle w:val="20"/>
              <w:spacing w:line="240" w:lineRule="auto"/>
              <w:rPr>
                <w:sz w:val="18"/>
                <w:szCs w:val="18"/>
              </w:rPr>
            </w:pPr>
            <w:r>
              <w:rPr>
                <w:sz w:val="18"/>
                <w:szCs w:val="18"/>
              </w:rPr>
              <w:t>在建工程排放量（固体废物产生量）</w:t>
            </w:r>
            <w:r>
              <w:rPr>
                <w:sz w:val="18"/>
                <w:szCs w:val="18"/>
              </w:rPr>
              <w:fldChar w:fldCharType="begin"/>
            </w:r>
            <w:r>
              <w:rPr>
                <w:sz w:val="18"/>
                <w:szCs w:val="18"/>
              </w:rPr>
              <w:instrText xml:space="preserve"> = 3 \* GB3 \* MERGEFORMAT </w:instrText>
            </w:r>
            <w:r>
              <w:rPr>
                <w:sz w:val="18"/>
                <w:szCs w:val="18"/>
              </w:rPr>
              <w:fldChar w:fldCharType="separate"/>
            </w:r>
            <w:r>
              <w:rPr>
                <w:sz w:val="18"/>
                <w:szCs w:val="18"/>
              </w:rPr>
              <w:t>③</w:t>
            </w:r>
            <w:r>
              <w:rPr>
                <w:sz w:val="18"/>
                <w:szCs w:val="18"/>
              </w:rPr>
              <w:fldChar w:fldCharType="end"/>
            </w:r>
          </w:p>
        </w:tc>
        <w:tc>
          <w:tcPr>
            <w:tcW w:w="1685" w:type="dxa"/>
            <w:tcMar>
              <w:left w:w="28" w:type="dxa"/>
              <w:right w:w="28" w:type="dxa"/>
            </w:tcMar>
            <w:vAlign w:val="center"/>
          </w:tcPr>
          <w:p>
            <w:pPr>
              <w:pStyle w:val="20"/>
              <w:spacing w:line="240" w:lineRule="auto"/>
              <w:rPr>
                <w:sz w:val="18"/>
                <w:szCs w:val="18"/>
              </w:rPr>
            </w:pPr>
            <w:r>
              <w:rPr>
                <w:sz w:val="18"/>
                <w:szCs w:val="18"/>
              </w:rPr>
              <w:t>本项目排放量（固体废物产生量）</w:t>
            </w:r>
            <w:r>
              <w:rPr>
                <w:sz w:val="18"/>
                <w:szCs w:val="18"/>
              </w:rPr>
              <w:fldChar w:fldCharType="begin"/>
            </w:r>
            <w:r>
              <w:rPr>
                <w:sz w:val="18"/>
                <w:szCs w:val="18"/>
              </w:rPr>
              <w:instrText xml:space="preserve"> = 4 \* GB3 \* MERGEFORMAT </w:instrText>
            </w:r>
            <w:r>
              <w:rPr>
                <w:sz w:val="18"/>
                <w:szCs w:val="18"/>
              </w:rPr>
              <w:fldChar w:fldCharType="separate"/>
            </w:r>
            <w:r>
              <w:rPr>
                <w:sz w:val="18"/>
                <w:szCs w:val="18"/>
              </w:rPr>
              <w:t>④</w:t>
            </w:r>
            <w:r>
              <w:rPr>
                <w:sz w:val="18"/>
                <w:szCs w:val="18"/>
              </w:rPr>
              <w:fldChar w:fldCharType="end"/>
            </w:r>
          </w:p>
        </w:tc>
        <w:tc>
          <w:tcPr>
            <w:tcW w:w="1773" w:type="dxa"/>
            <w:tcMar>
              <w:left w:w="28" w:type="dxa"/>
              <w:right w:w="28" w:type="dxa"/>
            </w:tcMar>
            <w:vAlign w:val="center"/>
          </w:tcPr>
          <w:p>
            <w:pPr>
              <w:pStyle w:val="20"/>
              <w:spacing w:line="240" w:lineRule="auto"/>
              <w:rPr>
                <w:sz w:val="18"/>
                <w:szCs w:val="18"/>
              </w:rPr>
            </w:pPr>
            <w:r>
              <w:rPr>
                <w:sz w:val="18"/>
                <w:szCs w:val="18"/>
              </w:rPr>
              <w:t>以新带老削减量（新建项目不填）</w:t>
            </w:r>
            <w:r>
              <w:rPr>
                <w:sz w:val="18"/>
                <w:szCs w:val="18"/>
              </w:rPr>
              <w:fldChar w:fldCharType="begin"/>
            </w:r>
            <w:r>
              <w:rPr>
                <w:sz w:val="18"/>
                <w:szCs w:val="18"/>
              </w:rPr>
              <w:instrText xml:space="preserve"> = 5 \* GB3 \* MERGEFORMAT </w:instrText>
            </w:r>
            <w:r>
              <w:rPr>
                <w:sz w:val="18"/>
                <w:szCs w:val="18"/>
              </w:rPr>
              <w:fldChar w:fldCharType="separate"/>
            </w:r>
            <w:r>
              <w:rPr>
                <w:sz w:val="18"/>
                <w:szCs w:val="18"/>
              </w:rPr>
              <w:t>⑤</w:t>
            </w:r>
            <w:r>
              <w:rPr>
                <w:sz w:val="18"/>
                <w:szCs w:val="18"/>
              </w:rPr>
              <w:fldChar w:fldCharType="end"/>
            </w:r>
          </w:p>
        </w:tc>
        <w:tc>
          <w:tcPr>
            <w:tcW w:w="1666" w:type="dxa"/>
            <w:tcMar>
              <w:left w:w="28" w:type="dxa"/>
              <w:right w:w="28" w:type="dxa"/>
            </w:tcMar>
            <w:vAlign w:val="center"/>
          </w:tcPr>
          <w:p>
            <w:pPr>
              <w:pStyle w:val="20"/>
              <w:spacing w:line="240" w:lineRule="auto"/>
              <w:rPr>
                <w:sz w:val="18"/>
                <w:szCs w:val="18"/>
              </w:rPr>
            </w:pPr>
            <w:r>
              <w:rPr>
                <w:sz w:val="18"/>
                <w:szCs w:val="18"/>
              </w:rPr>
              <w:t>本项目建成后全厂排放量（固体废物产生量）</w:t>
            </w:r>
            <w:r>
              <w:rPr>
                <w:sz w:val="18"/>
                <w:szCs w:val="18"/>
              </w:rPr>
              <w:fldChar w:fldCharType="begin"/>
            </w:r>
            <w:r>
              <w:rPr>
                <w:sz w:val="18"/>
                <w:szCs w:val="18"/>
              </w:rPr>
              <w:instrText xml:space="preserve"> = 6 \* GB3 \* MERGEFORMAT </w:instrText>
            </w:r>
            <w:r>
              <w:rPr>
                <w:sz w:val="18"/>
                <w:szCs w:val="18"/>
              </w:rPr>
              <w:fldChar w:fldCharType="separate"/>
            </w:r>
            <w:r>
              <w:rPr>
                <w:sz w:val="18"/>
                <w:szCs w:val="18"/>
              </w:rPr>
              <w:t>⑥</w:t>
            </w:r>
            <w:r>
              <w:rPr>
                <w:sz w:val="18"/>
                <w:szCs w:val="18"/>
              </w:rPr>
              <w:fldChar w:fldCharType="end"/>
            </w:r>
          </w:p>
        </w:tc>
        <w:tc>
          <w:tcPr>
            <w:tcW w:w="1389" w:type="dxa"/>
            <w:tcMar>
              <w:left w:w="28" w:type="dxa"/>
              <w:right w:w="28" w:type="dxa"/>
            </w:tcMar>
            <w:vAlign w:val="center"/>
          </w:tcPr>
          <w:p>
            <w:pPr>
              <w:pStyle w:val="20"/>
              <w:spacing w:line="240" w:lineRule="auto"/>
              <w:rPr>
                <w:sz w:val="18"/>
                <w:szCs w:val="18"/>
              </w:rPr>
            </w:pPr>
            <w:r>
              <w:rPr>
                <w:sz w:val="18"/>
                <w:szCs w:val="18"/>
              </w:rPr>
              <w:t>变化量</w:t>
            </w:r>
            <w:r>
              <w:rPr>
                <w:sz w:val="18"/>
                <w:szCs w:val="18"/>
              </w:rPr>
              <w:fldChar w:fldCharType="begin"/>
            </w:r>
            <w:r>
              <w:rPr>
                <w:sz w:val="18"/>
                <w:szCs w:val="18"/>
              </w:rPr>
              <w:instrText xml:space="preserve"> = 7 \* GB3 \* MERGEFORMAT </w:instrText>
            </w:r>
            <w:r>
              <w:rPr>
                <w:sz w:val="18"/>
                <w:szCs w:val="18"/>
              </w:rPr>
              <w:fldChar w:fldCharType="separate"/>
            </w:r>
            <w:r>
              <w:rPr>
                <w:sz w:val="18"/>
                <w:szCs w:val="18"/>
              </w:rPr>
              <w:t>⑦</w:t>
            </w:r>
            <w:r>
              <w:rPr>
                <w:sz w:val="18"/>
                <w:szCs w:val="18"/>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restart"/>
            <w:vAlign w:val="center"/>
          </w:tcPr>
          <w:p>
            <w:pPr>
              <w:pStyle w:val="20"/>
              <w:spacing w:line="240" w:lineRule="auto"/>
              <w:rPr>
                <w:sz w:val="18"/>
                <w:szCs w:val="18"/>
              </w:rPr>
            </w:pPr>
            <w:r>
              <w:rPr>
                <w:rFonts w:hint="eastAsia"/>
                <w:sz w:val="18"/>
                <w:szCs w:val="18"/>
              </w:rPr>
              <w:t>废气</w:t>
            </w:r>
          </w:p>
        </w:tc>
        <w:tc>
          <w:tcPr>
            <w:tcW w:w="1513"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VOCs</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2.034</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19.298</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17.624</w:t>
            </w:r>
          </w:p>
        </w:tc>
        <w:tc>
          <w:tcPr>
            <w:tcW w:w="1685"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0.776</w:t>
            </w:r>
          </w:p>
        </w:tc>
        <w:tc>
          <w:tcPr>
            <w:tcW w:w="1773"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20.074</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+18.04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rFonts w:hint="eastAsia"/>
                <w:sz w:val="18"/>
                <w:szCs w:val="18"/>
              </w:rPr>
            </w:pPr>
          </w:p>
        </w:tc>
        <w:tc>
          <w:tcPr>
            <w:tcW w:w="1513" w:type="dxa"/>
            <w:vAlign w:val="center"/>
          </w:tcPr>
          <w:p>
            <w:pPr>
              <w:pStyle w:val="20"/>
              <w:spacing w:line="240" w:lineRule="auto"/>
              <w:rPr>
                <w:rFonts w:hint="default" w:eastAsia="宋体"/>
                <w:sz w:val="18"/>
                <w:szCs w:val="18"/>
                <w:vertAlign w:val="subscript"/>
                <w:lang w:val="en-US" w:eastAsia="zh-CN"/>
              </w:rPr>
            </w:pPr>
            <w:r>
              <w:rPr>
                <w:rFonts w:hint="eastAsia"/>
                <w:sz w:val="18"/>
                <w:szCs w:val="18"/>
                <w:lang w:val="en-US" w:eastAsia="zh-CN"/>
              </w:rPr>
              <w:t>颗粒物</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0.199</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0.373</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0.174</w:t>
            </w:r>
          </w:p>
        </w:tc>
        <w:tc>
          <w:tcPr>
            <w:tcW w:w="1685"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0.373</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restart"/>
            <w:vAlign w:val="center"/>
          </w:tcPr>
          <w:p>
            <w:pPr>
              <w:pStyle w:val="20"/>
              <w:spacing w:line="240" w:lineRule="auto"/>
              <w:rPr>
                <w:sz w:val="18"/>
                <w:szCs w:val="18"/>
              </w:rPr>
            </w:pPr>
            <w:r>
              <w:rPr>
                <w:sz w:val="18"/>
                <w:szCs w:val="18"/>
              </w:rPr>
              <w:t>废水</w:t>
            </w:r>
          </w:p>
        </w:tc>
        <w:tc>
          <w:tcPr>
            <w:tcW w:w="1513" w:type="dxa"/>
            <w:vAlign w:val="center"/>
          </w:tcPr>
          <w:p>
            <w:pPr>
              <w:pStyle w:val="20"/>
              <w:spacing w:line="240" w:lineRule="auto"/>
              <w:rPr>
                <w:sz w:val="18"/>
                <w:szCs w:val="18"/>
              </w:rPr>
            </w:pPr>
            <w:r>
              <w:rPr>
                <w:sz w:val="18"/>
                <w:szCs w:val="18"/>
              </w:rPr>
              <w:t>废水量</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29139</w:t>
            </w:r>
          </w:p>
        </w:tc>
        <w:tc>
          <w:tcPr>
            <w:tcW w:w="1597" w:type="dxa"/>
            <w:vAlign w:val="center"/>
          </w:tcPr>
          <w:p>
            <w:pPr>
              <w:pStyle w:val="20"/>
              <w:spacing w:line="240" w:lineRule="auto"/>
              <w:rPr>
                <w:sz w:val="18"/>
                <w:szCs w:val="18"/>
              </w:rPr>
            </w:pPr>
            <w:r>
              <w:rPr>
                <w:rFonts w:hint="default"/>
                <w:sz w:val="18"/>
                <w:szCs w:val="18"/>
                <w:lang w:val="en-US" w:eastAsia="zh-CN"/>
              </w:rPr>
              <w:t>117935.1</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88796</w:t>
            </w:r>
          </w:p>
        </w:tc>
        <w:tc>
          <w:tcPr>
            <w:tcW w:w="1685"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4161</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default"/>
                <w:sz w:val="18"/>
                <w:szCs w:val="18"/>
                <w:lang w:val="en-US" w:eastAsia="zh-CN"/>
              </w:rPr>
              <w:t>122096.1</w:t>
            </w:r>
          </w:p>
        </w:tc>
        <w:tc>
          <w:tcPr>
            <w:tcW w:w="1389"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+92957.1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sz w:val="18"/>
                <w:szCs w:val="18"/>
              </w:rPr>
              <w:t>CODcr</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1.166</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4.717</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3.551</w:t>
            </w:r>
          </w:p>
        </w:tc>
        <w:tc>
          <w:tcPr>
            <w:tcW w:w="1685"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0.166</w:t>
            </w:r>
          </w:p>
        </w:tc>
        <w:tc>
          <w:tcPr>
            <w:tcW w:w="1773"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4.883</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+3.717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sz w:val="18"/>
                <w:szCs w:val="18"/>
              </w:rPr>
              <w:t>氨氮</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0.058</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0.236</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0.178</w:t>
            </w:r>
          </w:p>
        </w:tc>
        <w:tc>
          <w:tcPr>
            <w:tcW w:w="1685"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0.008</w:t>
            </w:r>
          </w:p>
        </w:tc>
        <w:tc>
          <w:tcPr>
            <w:tcW w:w="1773"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0.244</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restart"/>
            <w:vAlign w:val="center"/>
          </w:tcPr>
          <w:p>
            <w:pPr>
              <w:pStyle w:val="20"/>
              <w:spacing w:line="240" w:lineRule="auto"/>
              <w:rPr>
                <w:sz w:val="18"/>
                <w:szCs w:val="18"/>
              </w:rPr>
            </w:pPr>
            <w:r>
              <w:rPr>
                <w:sz w:val="18"/>
                <w:szCs w:val="18"/>
              </w:rPr>
              <w:t>一般工业</w:t>
            </w:r>
          </w:p>
          <w:p>
            <w:pPr>
              <w:pStyle w:val="20"/>
              <w:spacing w:line="240" w:lineRule="auto"/>
              <w:rPr>
                <w:sz w:val="18"/>
                <w:szCs w:val="18"/>
              </w:rPr>
            </w:pPr>
            <w:r>
              <w:rPr>
                <w:sz w:val="18"/>
                <w:szCs w:val="18"/>
              </w:rPr>
              <w:t>固体废物</w:t>
            </w:r>
          </w:p>
        </w:tc>
        <w:tc>
          <w:tcPr>
            <w:tcW w:w="1513" w:type="dxa"/>
            <w:vAlign w:val="center"/>
          </w:tcPr>
          <w:p>
            <w:pPr>
              <w:pStyle w:val="20"/>
              <w:spacing w:line="240" w:lineRule="auto"/>
              <w:rPr>
                <w:sz w:val="18"/>
                <w:szCs w:val="18"/>
              </w:rPr>
            </w:pPr>
            <w:r>
              <w:rPr>
                <w:rFonts w:hint="eastAsia"/>
                <w:sz w:val="18"/>
                <w:szCs w:val="18"/>
              </w:rPr>
              <w:t>正极投料过滤粉尘</w:t>
            </w:r>
          </w:p>
        </w:tc>
        <w:tc>
          <w:tcPr>
            <w:tcW w:w="1739" w:type="dxa"/>
            <w:vAlign w:val="center"/>
          </w:tcPr>
          <w:p>
            <w:pPr>
              <w:pStyle w:val="20"/>
              <w:spacing w:line="240" w:lineRule="auto"/>
              <w:rPr>
                <w:rFonts w:hint="eastAsia" w:eastAsia="宋体"/>
                <w:sz w:val="18"/>
                <w:szCs w:val="18"/>
                <w:lang w:eastAsia="zh-CN"/>
              </w:rPr>
            </w:pPr>
            <w:r>
              <w:rPr>
                <w:rFonts w:hint="eastAsia"/>
                <w:sz w:val="18"/>
                <w:szCs w:val="18"/>
                <w:lang w:val="en-US" w:eastAsia="zh-CN"/>
              </w:rPr>
              <w:t>2</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4.86</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2.86</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4.86</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rPr>
            </w:pPr>
            <w:r>
              <w:rPr>
                <w:rFonts w:hint="eastAsia"/>
                <w:sz w:val="18"/>
                <w:szCs w:val="18"/>
              </w:rPr>
              <w:t>负极投料过滤粉尘</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1.2</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2.54</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1.34</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2.54</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+1.34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rPr>
              <w:t>废无尘布</w:t>
            </w:r>
          </w:p>
        </w:tc>
        <w:tc>
          <w:tcPr>
            <w:tcW w:w="1739" w:type="dxa"/>
            <w:vAlign w:val="center"/>
          </w:tcPr>
          <w:p>
            <w:pPr>
              <w:pStyle w:val="20"/>
              <w:spacing w:line="240" w:lineRule="auto"/>
              <w:rPr>
                <w:rFonts w:hint="eastAsia" w:eastAsia="宋体"/>
                <w:sz w:val="18"/>
                <w:szCs w:val="18"/>
                <w:lang w:eastAsia="zh-CN"/>
              </w:rPr>
            </w:pPr>
            <w:r>
              <w:rPr>
                <w:rFonts w:hint="eastAsia"/>
                <w:sz w:val="18"/>
                <w:szCs w:val="18"/>
                <w:lang w:val="en-US" w:eastAsia="zh-CN"/>
              </w:rPr>
              <w:t>1</w:t>
            </w:r>
          </w:p>
        </w:tc>
        <w:tc>
          <w:tcPr>
            <w:tcW w:w="1597" w:type="dxa"/>
            <w:vAlign w:val="center"/>
          </w:tcPr>
          <w:p>
            <w:pPr>
              <w:pStyle w:val="20"/>
              <w:spacing w:line="240" w:lineRule="auto"/>
              <w:rPr>
                <w:rFonts w:hint="eastAsia" w:eastAsia="宋体"/>
                <w:sz w:val="18"/>
                <w:szCs w:val="18"/>
                <w:lang w:eastAsia="zh-CN"/>
              </w:rPr>
            </w:pPr>
            <w:r>
              <w:rPr>
                <w:rFonts w:hint="eastAsia"/>
                <w:sz w:val="18"/>
                <w:szCs w:val="18"/>
                <w:lang w:val="en-US" w:eastAsia="zh-CN"/>
              </w:rPr>
              <w:t>3</w:t>
            </w:r>
          </w:p>
        </w:tc>
        <w:tc>
          <w:tcPr>
            <w:tcW w:w="1522"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2</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666" w:type="dxa"/>
            <w:vAlign w:val="center"/>
          </w:tcPr>
          <w:p>
            <w:pPr>
              <w:pStyle w:val="20"/>
              <w:spacing w:line="240" w:lineRule="auto"/>
              <w:rPr>
                <w:rFonts w:hint="eastAsia" w:eastAsia="宋体"/>
                <w:sz w:val="18"/>
                <w:szCs w:val="18"/>
                <w:lang w:eastAsia="zh-CN"/>
              </w:rPr>
            </w:pPr>
            <w:r>
              <w:rPr>
                <w:rFonts w:hint="eastAsia"/>
                <w:sz w:val="18"/>
                <w:szCs w:val="18"/>
                <w:lang w:val="en-US" w:eastAsia="zh-CN"/>
              </w:rPr>
              <w:t>3</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rPr>
            </w:pPr>
            <w:r>
              <w:rPr>
                <w:rFonts w:hint="eastAsia"/>
                <w:sz w:val="18"/>
                <w:szCs w:val="18"/>
                <w:vertAlign w:val="baseline"/>
                <w:lang w:val="en-US" w:eastAsia="zh-CN"/>
              </w:rPr>
              <w:t>废正极和负极浆料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5</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10</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5</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10</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废铜箔、废铝箔、废极片</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32</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75</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43</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75</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废隔膜、胶带边角料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7</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14</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7</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14</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轻微不合格电芯</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18902</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38930.5</w:t>
            </w:r>
          </w:p>
        </w:tc>
        <w:tc>
          <w:tcPr>
            <w:tcW w:w="1522" w:type="dxa"/>
            <w:vAlign w:val="center"/>
          </w:tcPr>
          <w:p>
            <w:pPr>
              <w:pStyle w:val="20"/>
              <w:spacing w:line="240" w:lineRule="auto"/>
              <w:rPr>
                <w:rFonts w:hint="eastAsia"/>
                <w:sz w:val="18"/>
                <w:szCs w:val="18"/>
                <w:lang w:val="en-US" w:eastAsia="zh-CN"/>
              </w:rPr>
            </w:pPr>
            <w:r>
              <w:rPr>
                <w:rFonts w:hint="eastAsia"/>
                <w:sz w:val="18"/>
                <w:szCs w:val="18"/>
                <w:lang w:val="en-US" w:eastAsia="zh-CN"/>
              </w:rPr>
              <w:t>20028.5</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38930.5</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+20028.5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严重不合格电芯</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150</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393.2</w:t>
            </w:r>
          </w:p>
        </w:tc>
        <w:tc>
          <w:tcPr>
            <w:tcW w:w="1522" w:type="dxa"/>
            <w:vAlign w:val="center"/>
          </w:tcPr>
          <w:p>
            <w:pPr>
              <w:pStyle w:val="20"/>
              <w:spacing w:line="240" w:lineRule="auto"/>
              <w:rPr>
                <w:rFonts w:hint="eastAsia"/>
                <w:sz w:val="18"/>
                <w:szCs w:val="18"/>
                <w:lang w:val="en-US" w:eastAsia="zh-CN"/>
              </w:rPr>
            </w:pPr>
            <w:r>
              <w:rPr>
                <w:rFonts w:hint="eastAsia"/>
                <w:sz w:val="18"/>
                <w:szCs w:val="18"/>
                <w:lang w:val="en-US" w:eastAsia="zh-CN"/>
              </w:rPr>
              <w:t>243.2</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393.2</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+243.2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研发电芯</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2468</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5748.7</w:t>
            </w:r>
          </w:p>
        </w:tc>
        <w:tc>
          <w:tcPr>
            <w:tcW w:w="1522" w:type="dxa"/>
            <w:vAlign w:val="center"/>
          </w:tcPr>
          <w:p>
            <w:pPr>
              <w:pStyle w:val="20"/>
              <w:spacing w:line="240" w:lineRule="auto"/>
              <w:rPr>
                <w:rFonts w:hint="eastAsia"/>
                <w:sz w:val="18"/>
                <w:szCs w:val="18"/>
                <w:lang w:val="en-US" w:eastAsia="zh-CN"/>
              </w:rPr>
            </w:pPr>
            <w:r>
              <w:rPr>
                <w:rFonts w:hint="eastAsia"/>
                <w:sz w:val="18"/>
                <w:szCs w:val="18"/>
                <w:lang w:val="en-US" w:eastAsia="zh-CN"/>
              </w:rPr>
              <w:t>3280.7</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5748.7</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+3280.7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不合格铝壳体</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7</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14.3</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7.3</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14.3</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+7.3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default"/>
                <w:sz w:val="18"/>
                <w:szCs w:val="18"/>
                <w:vertAlign w:val="baseline"/>
                <w:lang w:val="en-US" w:eastAsia="zh-CN"/>
              </w:rPr>
            </w:pPr>
            <w:r>
              <w:rPr>
                <w:rFonts w:hint="eastAsia"/>
                <w:sz w:val="18"/>
                <w:szCs w:val="18"/>
                <w:vertAlign w:val="baseline"/>
                <w:lang w:val="en-US" w:eastAsia="zh-CN"/>
              </w:rPr>
              <w:t>废包装材料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14</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30</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16</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30</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default"/>
                <w:sz w:val="18"/>
                <w:szCs w:val="18"/>
                <w:vertAlign w:val="baseline"/>
                <w:lang w:val="en-US" w:eastAsia="zh-CN"/>
              </w:rPr>
            </w:pPr>
            <w:r>
              <w:rPr>
                <w:rFonts w:hint="eastAsia"/>
                <w:sz w:val="18"/>
                <w:szCs w:val="18"/>
                <w:vertAlign w:val="baseline"/>
                <w:lang w:val="en-US" w:eastAsia="zh-CN"/>
              </w:rPr>
              <w:t>不合格电芯</w:t>
            </w:r>
          </w:p>
        </w:tc>
        <w:tc>
          <w:tcPr>
            <w:tcW w:w="1739"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2.5</w:t>
            </w:r>
          </w:p>
        </w:tc>
        <w:tc>
          <w:tcPr>
            <w:tcW w:w="1597"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6</w:t>
            </w:r>
          </w:p>
        </w:tc>
        <w:tc>
          <w:tcPr>
            <w:tcW w:w="1522"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3.5</w:t>
            </w:r>
          </w:p>
        </w:tc>
        <w:tc>
          <w:tcPr>
            <w:tcW w:w="1685"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2</w:t>
            </w:r>
          </w:p>
        </w:tc>
        <w:tc>
          <w:tcPr>
            <w:tcW w:w="1773"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0</w:t>
            </w:r>
          </w:p>
        </w:tc>
        <w:tc>
          <w:tcPr>
            <w:tcW w:w="1666"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8</w:t>
            </w:r>
          </w:p>
        </w:tc>
        <w:tc>
          <w:tcPr>
            <w:tcW w:w="1389"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default"/>
                <w:sz w:val="18"/>
                <w:szCs w:val="18"/>
                <w:vertAlign w:val="baseline"/>
                <w:lang w:val="en-US" w:eastAsia="zh-CN"/>
              </w:rPr>
            </w:pPr>
            <w:r>
              <w:rPr>
                <w:rFonts w:hint="eastAsia"/>
                <w:sz w:val="18"/>
                <w:szCs w:val="18"/>
                <w:vertAlign w:val="baseline"/>
                <w:lang w:val="en-US" w:eastAsia="zh-CN"/>
              </w:rPr>
              <w:t>废胶纸</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2.5</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6</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3.5</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2</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8</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废五金件、废线束、废包装材料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16</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30</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14</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15</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45</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废电芯拆解过程中产生的废料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2</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6</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4</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6</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废过滤材料</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1.5</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1.5</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default"/>
                <w:sz w:val="18"/>
                <w:szCs w:val="18"/>
                <w:vertAlign w:val="baseline"/>
                <w:lang w:val="en-US" w:eastAsia="zh-CN"/>
              </w:rPr>
            </w:pPr>
            <w:r>
              <w:rPr>
                <w:rFonts w:hint="eastAsia"/>
                <w:sz w:val="18"/>
                <w:szCs w:val="18"/>
                <w:vertAlign w:val="baseline"/>
                <w:lang w:val="en-US" w:eastAsia="zh-CN"/>
              </w:rPr>
              <w:t>污泥</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10</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18.16</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8.16</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18.16</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+8.16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废离子交换树脂、废活性炭、废滤芯</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2</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5</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5</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vertAlign w:val="baseline"/>
                <w:lang w:val="en-US" w:eastAsia="zh-CN"/>
              </w:rPr>
              <w:t>废碳分子筛</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0.1</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0.3</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0..2</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0.3</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rPr>
              <w:t>生活垃圾</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400</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750</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350</w:t>
            </w:r>
          </w:p>
        </w:tc>
        <w:tc>
          <w:tcPr>
            <w:tcW w:w="1685"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52.8</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sz w:val="18"/>
                <w:szCs w:val="18"/>
              </w:rPr>
            </w:pPr>
            <w:r>
              <w:rPr>
                <w:rFonts w:hint="eastAsia"/>
                <w:sz w:val="18"/>
                <w:szCs w:val="18"/>
              </w:rPr>
              <w:t>802.8</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+402.8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restart"/>
            <w:vAlign w:val="center"/>
          </w:tcPr>
          <w:p>
            <w:pPr>
              <w:pStyle w:val="20"/>
              <w:spacing w:line="240" w:lineRule="auto"/>
              <w:rPr>
                <w:sz w:val="18"/>
                <w:szCs w:val="18"/>
              </w:rPr>
            </w:pPr>
            <w:r>
              <w:rPr>
                <w:rFonts w:hint="eastAsia"/>
                <w:sz w:val="18"/>
                <w:szCs w:val="18"/>
              </w:rPr>
              <w:t>危险废物</w:t>
            </w:r>
          </w:p>
        </w:tc>
        <w:tc>
          <w:tcPr>
            <w:tcW w:w="1513" w:type="dxa"/>
            <w:vAlign w:val="center"/>
          </w:tcPr>
          <w:p>
            <w:pPr>
              <w:pStyle w:val="20"/>
              <w:spacing w:line="240" w:lineRule="auto"/>
              <w:rPr>
                <w:sz w:val="18"/>
                <w:szCs w:val="18"/>
              </w:rPr>
            </w:pPr>
            <w:r>
              <w:rPr>
                <w:rFonts w:hint="eastAsia"/>
                <w:sz w:val="18"/>
                <w:szCs w:val="18"/>
                <w:vertAlign w:val="baseline"/>
                <w:lang w:val="en-US" w:eastAsia="zh-CN"/>
              </w:rPr>
              <w:t>废电解液</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30</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158</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128</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158</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vertAlign w:val="baseline"/>
                <w:lang w:val="en-US" w:eastAsia="zh-CN"/>
              </w:rPr>
              <w:t>废电路板</w:t>
            </w:r>
          </w:p>
        </w:tc>
        <w:tc>
          <w:tcPr>
            <w:tcW w:w="1739" w:type="dxa"/>
            <w:vAlign w:val="center"/>
          </w:tcPr>
          <w:p>
            <w:pPr>
              <w:pStyle w:val="20"/>
              <w:spacing w:line="240" w:lineRule="auto"/>
              <w:rPr>
                <w:rFonts w:hint="eastAsia" w:eastAsia="宋体"/>
                <w:sz w:val="18"/>
                <w:szCs w:val="18"/>
                <w:lang w:eastAsia="zh-CN"/>
              </w:rPr>
            </w:pPr>
            <w:r>
              <w:rPr>
                <w:rFonts w:hint="eastAsia"/>
                <w:sz w:val="18"/>
                <w:szCs w:val="18"/>
                <w:lang w:val="en-US" w:eastAsia="zh-CN"/>
              </w:rPr>
              <w:t>1</w:t>
            </w:r>
          </w:p>
        </w:tc>
        <w:tc>
          <w:tcPr>
            <w:tcW w:w="1597" w:type="dxa"/>
            <w:vAlign w:val="center"/>
          </w:tcPr>
          <w:p>
            <w:pPr>
              <w:pStyle w:val="20"/>
              <w:spacing w:line="240" w:lineRule="auto"/>
              <w:rPr>
                <w:rFonts w:hint="eastAsia" w:eastAsia="宋体"/>
                <w:sz w:val="18"/>
                <w:szCs w:val="18"/>
                <w:lang w:eastAsia="zh-CN"/>
              </w:rPr>
            </w:pPr>
            <w:r>
              <w:rPr>
                <w:rFonts w:hint="eastAsia"/>
                <w:sz w:val="18"/>
                <w:szCs w:val="18"/>
                <w:lang w:val="en-US" w:eastAsia="zh-CN"/>
              </w:rPr>
              <w:t>3</w:t>
            </w:r>
          </w:p>
        </w:tc>
        <w:tc>
          <w:tcPr>
            <w:tcW w:w="1522"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2</w:t>
            </w:r>
          </w:p>
        </w:tc>
        <w:tc>
          <w:tcPr>
            <w:tcW w:w="1685" w:type="dxa"/>
            <w:vAlign w:val="center"/>
          </w:tcPr>
          <w:p>
            <w:pPr>
              <w:pStyle w:val="20"/>
              <w:spacing w:line="240" w:lineRule="auto"/>
              <w:rPr>
                <w:rFonts w:hint="eastAsia" w:eastAsia="宋体"/>
                <w:sz w:val="18"/>
                <w:szCs w:val="18"/>
                <w:lang w:eastAsia="zh-CN"/>
              </w:rPr>
            </w:pPr>
            <w:r>
              <w:rPr>
                <w:rStyle w:val="19"/>
                <w:rFonts w:hint="eastAsia" w:cstheme="minorBidi"/>
                <w:kern w:val="0"/>
                <w:sz w:val="18"/>
                <w:szCs w:val="18"/>
                <w:lang w:val="en-US" w:eastAsia="zh-CN"/>
              </w:rPr>
              <w:t>1</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eastAsia" w:eastAsia="宋体"/>
                <w:sz w:val="18"/>
                <w:szCs w:val="18"/>
                <w:lang w:eastAsia="zh-CN"/>
              </w:rPr>
            </w:pPr>
            <w:r>
              <w:rPr>
                <w:rStyle w:val="19"/>
                <w:rFonts w:hint="eastAsia" w:cstheme="minorBidi"/>
                <w:kern w:val="0"/>
                <w:sz w:val="18"/>
                <w:szCs w:val="18"/>
                <w:lang w:val="en-US" w:eastAsia="zh-CN"/>
              </w:rPr>
              <w:t>4</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default"/>
                <w:sz w:val="18"/>
                <w:szCs w:val="18"/>
                <w:vertAlign w:val="baseline"/>
                <w:lang w:val="en-US" w:eastAsia="zh-CN"/>
              </w:rPr>
            </w:pPr>
            <w:r>
              <w:rPr>
                <w:rFonts w:hint="eastAsia"/>
                <w:sz w:val="18"/>
                <w:szCs w:val="18"/>
                <w:vertAlign w:val="baseline"/>
                <w:lang w:val="en-US" w:eastAsia="zh-CN"/>
              </w:rPr>
              <w:t>沾染化学品的废包装物</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6</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20</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14</w:t>
            </w:r>
          </w:p>
        </w:tc>
        <w:tc>
          <w:tcPr>
            <w:tcW w:w="1685" w:type="dxa"/>
            <w:vAlign w:val="center"/>
          </w:tcPr>
          <w:p>
            <w:pPr>
              <w:pStyle w:val="20"/>
              <w:spacing w:line="240" w:lineRule="auto"/>
              <w:rPr>
                <w:rStyle w:val="19"/>
                <w:rFonts w:hint="default" w:cstheme="minorBidi"/>
                <w:kern w:val="0"/>
                <w:sz w:val="18"/>
                <w:szCs w:val="18"/>
                <w:lang w:val="en-US" w:eastAsia="zh-CN"/>
              </w:rPr>
            </w:pPr>
            <w:r>
              <w:rPr>
                <w:rStyle w:val="19"/>
                <w:rFonts w:hint="eastAsia" w:cstheme="minorBidi"/>
                <w:kern w:val="0"/>
                <w:sz w:val="18"/>
                <w:szCs w:val="18"/>
                <w:lang w:val="en-US" w:eastAsia="zh-CN"/>
              </w:rPr>
              <w:t>1.464</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Style w:val="19"/>
                <w:rFonts w:hint="default" w:cstheme="minorBidi"/>
                <w:kern w:val="0"/>
                <w:sz w:val="18"/>
                <w:szCs w:val="18"/>
                <w:lang w:val="en-US" w:eastAsia="zh-CN"/>
              </w:rPr>
            </w:pPr>
            <w:r>
              <w:rPr>
                <w:rStyle w:val="19"/>
                <w:rFonts w:hint="eastAsia" w:cstheme="minorBidi"/>
                <w:kern w:val="0"/>
                <w:sz w:val="18"/>
                <w:szCs w:val="18"/>
                <w:lang w:val="en-US" w:eastAsia="zh-CN"/>
              </w:rPr>
              <w:t>21.464</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+15.464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废胶</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6</w:t>
            </w:r>
          </w:p>
        </w:tc>
        <w:tc>
          <w:tcPr>
            <w:tcW w:w="1685" w:type="dxa"/>
            <w:vAlign w:val="center"/>
          </w:tcPr>
          <w:p>
            <w:pPr>
              <w:pStyle w:val="20"/>
              <w:spacing w:line="240" w:lineRule="auto"/>
              <w:rPr>
                <w:rStyle w:val="19"/>
                <w:rFonts w:hint="default" w:cstheme="minorBidi"/>
                <w:kern w:val="0"/>
                <w:sz w:val="18"/>
                <w:szCs w:val="18"/>
                <w:lang w:val="en-US" w:eastAsia="zh-CN"/>
              </w:rPr>
            </w:pPr>
            <w:r>
              <w:rPr>
                <w:rStyle w:val="19"/>
                <w:rFonts w:hint="eastAsia" w:cstheme="minorBidi"/>
                <w:kern w:val="0"/>
                <w:sz w:val="18"/>
                <w:szCs w:val="18"/>
                <w:lang w:val="en-US" w:eastAsia="zh-CN"/>
              </w:rPr>
              <w:t>3</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Style w:val="19"/>
                <w:rFonts w:hint="default" w:cstheme="minorBidi"/>
                <w:kern w:val="0"/>
                <w:sz w:val="18"/>
                <w:szCs w:val="18"/>
                <w:lang w:val="en-US" w:eastAsia="zh-CN"/>
              </w:rPr>
            </w:pPr>
            <w:r>
              <w:rPr>
                <w:rStyle w:val="19"/>
                <w:rFonts w:hint="eastAsia" w:cstheme="minorBidi"/>
                <w:kern w:val="0"/>
                <w:sz w:val="18"/>
                <w:szCs w:val="18"/>
                <w:lang w:val="en-US" w:eastAsia="zh-CN"/>
              </w:rPr>
              <w:t>12</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废实验材料</w:t>
            </w:r>
          </w:p>
        </w:tc>
        <w:tc>
          <w:tcPr>
            <w:tcW w:w="1739" w:type="dxa"/>
            <w:vAlign w:val="center"/>
          </w:tcPr>
          <w:p>
            <w:pPr>
              <w:pStyle w:val="20"/>
              <w:spacing w:line="240" w:lineRule="auto"/>
              <w:ind w:firstLine="0" w:firstLineChars="0"/>
              <w:rPr>
                <w:rFonts w:hint="default" w:ascii="Times New Roman" w:hAnsi="Times New Roman" w:eastAsia="宋体" w:cs="Times New Roman"/>
                <w:color w:val="000000"/>
                <w:kern w:val="2"/>
                <w:sz w:val="18"/>
                <w:szCs w:val="18"/>
                <w:lang w:val="en-US" w:eastAsia="zh-CN" w:bidi="ar-SA"/>
              </w:rPr>
            </w:pPr>
            <w:r>
              <w:rPr>
                <w:rFonts w:hint="eastAsia"/>
                <w:sz w:val="18"/>
                <w:szCs w:val="18"/>
                <w:lang w:val="en-US" w:eastAsia="zh-CN"/>
              </w:rPr>
              <w:t>1</w:t>
            </w:r>
          </w:p>
        </w:tc>
        <w:tc>
          <w:tcPr>
            <w:tcW w:w="1597"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3</w:t>
            </w:r>
          </w:p>
        </w:tc>
        <w:tc>
          <w:tcPr>
            <w:tcW w:w="1522"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2</w:t>
            </w:r>
          </w:p>
        </w:tc>
        <w:tc>
          <w:tcPr>
            <w:tcW w:w="1685"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Style w:val="19"/>
                <w:rFonts w:hint="eastAsia" w:cstheme="minorBidi"/>
                <w:kern w:val="0"/>
                <w:sz w:val="18"/>
                <w:szCs w:val="18"/>
                <w:lang w:val="en-US" w:eastAsia="zh-CN"/>
              </w:rPr>
              <w:t>0</w:t>
            </w:r>
          </w:p>
        </w:tc>
        <w:tc>
          <w:tcPr>
            <w:tcW w:w="1773"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0</w:t>
            </w:r>
          </w:p>
        </w:tc>
        <w:tc>
          <w:tcPr>
            <w:tcW w:w="1666"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Style w:val="19"/>
                <w:rFonts w:hint="eastAsia" w:cstheme="minorBidi"/>
                <w:kern w:val="0"/>
                <w:sz w:val="18"/>
                <w:szCs w:val="18"/>
                <w:lang w:val="en-US" w:eastAsia="zh-CN"/>
              </w:rPr>
              <w:t>3</w:t>
            </w:r>
          </w:p>
        </w:tc>
        <w:tc>
          <w:tcPr>
            <w:tcW w:w="1389" w:type="dxa"/>
            <w:vAlign w:val="center"/>
          </w:tcPr>
          <w:p>
            <w:pPr>
              <w:pStyle w:val="20"/>
              <w:spacing w:line="240" w:lineRule="auto"/>
              <w:ind w:firstLine="0" w:firstLineChars="0"/>
              <w:rPr>
                <w:rFonts w:hint="default" w:ascii="Times New Roman" w:hAnsi="Times New Roman" w:eastAsia="宋体" w:cs="Times New Roman"/>
                <w:color w:val="000000"/>
                <w:kern w:val="2"/>
                <w:sz w:val="18"/>
                <w:szCs w:val="18"/>
                <w:lang w:val="en-US" w:eastAsia="zh-CN" w:bidi="ar-SA"/>
              </w:rPr>
            </w:pPr>
            <w:r>
              <w:rPr>
                <w:rFonts w:hint="eastAsia"/>
                <w:sz w:val="18"/>
                <w:szCs w:val="18"/>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废润滑油、废机油及废油桶</w:t>
            </w:r>
          </w:p>
        </w:tc>
        <w:tc>
          <w:tcPr>
            <w:tcW w:w="1739" w:type="dxa"/>
            <w:vAlign w:val="center"/>
          </w:tcPr>
          <w:p>
            <w:pPr>
              <w:pStyle w:val="20"/>
              <w:spacing w:line="240" w:lineRule="auto"/>
              <w:ind w:firstLine="0" w:firstLineChars="0"/>
              <w:rPr>
                <w:rFonts w:hint="default"/>
                <w:sz w:val="18"/>
                <w:szCs w:val="18"/>
                <w:lang w:val="en-US" w:eastAsia="zh-CN"/>
              </w:rPr>
            </w:pPr>
            <w:r>
              <w:rPr>
                <w:rFonts w:hint="eastAsia"/>
                <w:sz w:val="18"/>
                <w:szCs w:val="18"/>
                <w:lang w:val="en-US" w:eastAsia="zh-CN"/>
              </w:rPr>
              <w:t>2</w:t>
            </w:r>
          </w:p>
        </w:tc>
        <w:tc>
          <w:tcPr>
            <w:tcW w:w="1597" w:type="dxa"/>
            <w:vAlign w:val="center"/>
          </w:tcPr>
          <w:p>
            <w:pPr>
              <w:pStyle w:val="20"/>
              <w:spacing w:line="240" w:lineRule="auto"/>
              <w:ind w:firstLine="0" w:firstLineChars="0"/>
              <w:rPr>
                <w:rFonts w:hint="default"/>
                <w:sz w:val="18"/>
                <w:szCs w:val="18"/>
                <w:lang w:val="en-US" w:eastAsia="zh-CN"/>
              </w:rPr>
            </w:pPr>
            <w:r>
              <w:rPr>
                <w:rFonts w:hint="eastAsia"/>
                <w:sz w:val="18"/>
                <w:szCs w:val="18"/>
                <w:lang w:val="en-US" w:eastAsia="zh-CN"/>
              </w:rPr>
              <w:t>2.5</w:t>
            </w:r>
          </w:p>
        </w:tc>
        <w:tc>
          <w:tcPr>
            <w:tcW w:w="1522" w:type="dxa"/>
            <w:vAlign w:val="center"/>
          </w:tcPr>
          <w:p>
            <w:pPr>
              <w:pStyle w:val="20"/>
              <w:spacing w:line="240" w:lineRule="auto"/>
              <w:ind w:firstLine="0" w:firstLineChars="0"/>
              <w:rPr>
                <w:rFonts w:hint="default"/>
                <w:sz w:val="18"/>
                <w:szCs w:val="18"/>
                <w:lang w:val="en-US" w:eastAsia="zh-CN"/>
              </w:rPr>
            </w:pPr>
            <w:r>
              <w:rPr>
                <w:rFonts w:hint="eastAsia"/>
                <w:sz w:val="18"/>
                <w:szCs w:val="18"/>
                <w:lang w:val="en-US" w:eastAsia="zh-CN"/>
              </w:rPr>
              <w:t>0.5</w:t>
            </w:r>
          </w:p>
        </w:tc>
        <w:tc>
          <w:tcPr>
            <w:tcW w:w="1685" w:type="dxa"/>
            <w:vAlign w:val="center"/>
          </w:tcPr>
          <w:p>
            <w:pPr>
              <w:pStyle w:val="20"/>
              <w:spacing w:line="240" w:lineRule="auto"/>
              <w:ind w:firstLine="0" w:firstLineChars="0"/>
              <w:rPr>
                <w:rStyle w:val="19"/>
                <w:rFonts w:hint="default" w:cstheme="minorBidi"/>
                <w:kern w:val="0"/>
                <w:sz w:val="18"/>
                <w:szCs w:val="18"/>
                <w:lang w:val="en-US" w:eastAsia="zh-CN"/>
              </w:rPr>
            </w:pPr>
            <w:r>
              <w:rPr>
                <w:rStyle w:val="19"/>
                <w:rFonts w:hint="eastAsia" w:cstheme="minorBidi"/>
                <w:kern w:val="0"/>
                <w:sz w:val="18"/>
                <w:szCs w:val="18"/>
                <w:lang w:val="en-US" w:eastAsia="zh-CN"/>
              </w:rPr>
              <w:t>0</w:t>
            </w:r>
          </w:p>
        </w:tc>
        <w:tc>
          <w:tcPr>
            <w:tcW w:w="1773" w:type="dxa"/>
            <w:vAlign w:val="center"/>
          </w:tcPr>
          <w:p>
            <w:pPr>
              <w:pStyle w:val="20"/>
              <w:spacing w:line="240" w:lineRule="auto"/>
              <w:ind w:firstLine="0" w:firstLineChars="0"/>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ind w:firstLine="0" w:firstLineChars="0"/>
              <w:rPr>
                <w:rStyle w:val="19"/>
                <w:rFonts w:hint="default" w:cstheme="minorBidi"/>
                <w:kern w:val="0"/>
                <w:sz w:val="18"/>
                <w:szCs w:val="18"/>
                <w:lang w:val="en-US" w:eastAsia="zh-CN"/>
              </w:rPr>
            </w:pPr>
            <w:r>
              <w:rPr>
                <w:rStyle w:val="19"/>
                <w:rFonts w:hint="eastAsia" w:cstheme="minorBidi"/>
                <w:kern w:val="0"/>
                <w:sz w:val="18"/>
                <w:szCs w:val="18"/>
                <w:lang w:val="en-US" w:eastAsia="zh-CN"/>
              </w:rPr>
              <w:t>2.5</w:t>
            </w:r>
          </w:p>
        </w:tc>
        <w:tc>
          <w:tcPr>
            <w:tcW w:w="1389" w:type="dxa"/>
            <w:vAlign w:val="center"/>
          </w:tcPr>
          <w:p>
            <w:pPr>
              <w:pStyle w:val="20"/>
              <w:spacing w:line="240" w:lineRule="auto"/>
              <w:ind w:firstLine="0" w:firstLineChars="0"/>
              <w:rPr>
                <w:rFonts w:hint="default"/>
                <w:sz w:val="18"/>
                <w:szCs w:val="18"/>
                <w:lang w:val="en-US" w:eastAsia="zh-CN"/>
              </w:rPr>
            </w:pPr>
            <w:r>
              <w:rPr>
                <w:rFonts w:hint="eastAsia"/>
                <w:sz w:val="18"/>
                <w:szCs w:val="18"/>
                <w:lang w:val="en-US" w:eastAsia="zh-CN"/>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vertAlign w:val="baseline"/>
                <w:lang w:val="en-US" w:eastAsia="zh-CN"/>
              </w:rPr>
              <w:t>含油废滤料</w:t>
            </w:r>
          </w:p>
        </w:tc>
        <w:tc>
          <w:tcPr>
            <w:tcW w:w="1739" w:type="dxa"/>
            <w:vAlign w:val="center"/>
          </w:tcPr>
          <w:p>
            <w:pPr>
              <w:pStyle w:val="20"/>
              <w:spacing w:line="240" w:lineRule="auto"/>
              <w:ind w:firstLine="0" w:firstLineChars="0"/>
              <w:rPr>
                <w:rFonts w:hint="default" w:ascii="Times New Roman" w:hAnsi="Times New Roman" w:eastAsia="宋体" w:cs="Times New Roman"/>
                <w:color w:val="000000"/>
                <w:kern w:val="2"/>
                <w:sz w:val="18"/>
                <w:szCs w:val="18"/>
                <w:lang w:val="en-US" w:eastAsia="zh-CN" w:bidi="ar-SA"/>
              </w:rPr>
            </w:pPr>
            <w:r>
              <w:rPr>
                <w:rFonts w:hint="eastAsia"/>
                <w:sz w:val="18"/>
                <w:szCs w:val="18"/>
                <w:lang w:val="en-US" w:eastAsia="zh-CN"/>
              </w:rPr>
              <w:t>1</w:t>
            </w:r>
          </w:p>
        </w:tc>
        <w:tc>
          <w:tcPr>
            <w:tcW w:w="1597"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3</w:t>
            </w:r>
          </w:p>
        </w:tc>
        <w:tc>
          <w:tcPr>
            <w:tcW w:w="1522"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2</w:t>
            </w:r>
          </w:p>
        </w:tc>
        <w:tc>
          <w:tcPr>
            <w:tcW w:w="1685"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Style w:val="19"/>
                <w:rFonts w:hint="eastAsia" w:cstheme="minorBidi"/>
                <w:kern w:val="0"/>
                <w:sz w:val="18"/>
                <w:szCs w:val="18"/>
                <w:lang w:val="en-US" w:eastAsia="zh-CN"/>
              </w:rPr>
              <w:t>0</w:t>
            </w:r>
          </w:p>
        </w:tc>
        <w:tc>
          <w:tcPr>
            <w:tcW w:w="1773"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Fonts w:hint="eastAsia"/>
                <w:sz w:val="18"/>
                <w:szCs w:val="18"/>
                <w:lang w:val="en-US" w:eastAsia="zh-CN"/>
              </w:rPr>
              <w:t>0</w:t>
            </w:r>
          </w:p>
        </w:tc>
        <w:tc>
          <w:tcPr>
            <w:tcW w:w="1666" w:type="dxa"/>
            <w:vAlign w:val="center"/>
          </w:tcPr>
          <w:p>
            <w:pPr>
              <w:pStyle w:val="20"/>
              <w:spacing w:line="240" w:lineRule="auto"/>
              <w:ind w:firstLine="0" w:firstLineChars="0"/>
              <w:rPr>
                <w:rFonts w:hint="eastAsia" w:ascii="Times New Roman" w:hAnsi="Times New Roman" w:eastAsia="宋体" w:cs="Times New Roman"/>
                <w:color w:val="000000"/>
                <w:kern w:val="2"/>
                <w:sz w:val="18"/>
                <w:szCs w:val="18"/>
                <w:lang w:val="en-US" w:eastAsia="zh-CN" w:bidi="ar-SA"/>
              </w:rPr>
            </w:pPr>
            <w:r>
              <w:rPr>
                <w:rStyle w:val="19"/>
                <w:rFonts w:hint="eastAsia" w:cstheme="minorBidi"/>
                <w:kern w:val="0"/>
                <w:sz w:val="18"/>
                <w:szCs w:val="18"/>
                <w:lang w:val="en-US" w:eastAsia="zh-CN"/>
              </w:rPr>
              <w:t>3</w:t>
            </w:r>
          </w:p>
        </w:tc>
        <w:tc>
          <w:tcPr>
            <w:tcW w:w="1389" w:type="dxa"/>
            <w:vAlign w:val="center"/>
          </w:tcPr>
          <w:p>
            <w:pPr>
              <w:pStyle w:val="20"/>
              <w:spacing w:line="240" w:lineRule="auto"/>
              <w:ind w:firstLine="0" w:firstLineChars="0"/>
              <w:rPr>
                <w:rFonts w:hint="default" w:ascii="Times New Roman" w:hAnsi="Times New Roman" w:eastAsia="宋体" w:cs="Times New Roman"/>
                <w:color w:val="000000"/>
                <w:kern w:val="2"/>
                <w:sz w:val="18"/>
                <w:szCs w:val="18"/>
                <w:lang w:val="en-US" w:eastAsia="zh-CN" w:bidi="ar-SA"/>
              </w:rPr>
            </w:pPr>
            <w:r>
              <w:rPr>
                <w:rFonts w:hint="eastAsia"/>
                <w:sz w:val="18"/>
                <w:szCs w:val="18"/>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vertAlign w:val="baseline"/>
                <w:lang w:val="en-US" w:eastAsia="zh-CN"/>
              </w:rPr>
              <w:t>废活性炭</w:t>
            </w:r>
          </w:p>
        </w:tc>
        <w:tc>
          <w:tcPr>
            <w:tcW w:w="173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10</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82.1</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72.1</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82.1</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+72.1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sz w:val="18"/>
                <w:szCs w:val="18"/>
              </w:rPr>
            </w:pPr>
            <w:r>
              <w:rPr>
                <w:rFonts w:hint="eastAsia"/>
                <w:sz w:val="18"/>
                <w:szCs w:val="18"/>
                <w:vertAlign w:val="baseline"/>
                <w:lang w:val="en-US" w:eastAsia="zh-CN"/>
              </w:rPr>
              <w:t>NMP精馏残黑液</w:t>
            </w:r>
          </w:p>
        </w:tc>
        <w:tc>
          <w:tcPr>
            <w:tcW w:w="1739"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597"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543.37</w:t>
            </w:r>
          </w:p>
        </w:tc>
        <w:tc>
          <w:tcPr>
            <w:tcW w:w="1522"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543.37</w:t>
            </w:r>
          </w:p>
        </w:tc>
        <w:tc>
          <w:tcPr>
            <w:tcW w:w="1685" w:type="dxa"/>
            <w:vAlign w:val="center"/>
          </w:tcPr>
          <w:p>
            <w:pPr>
              <w:pStyle w:val="20"/>
              <w:spacing w:line="240" w:lineRule="auto"/>
              <w:rPr>
                <w:rFonts w:hint="eastAsia" w:eastAsia="宋体"/>
                <w:sz w:val="18"/>
                <w:szCs w:val="18"/>
                <w:lang w:eastAsia="zh-CN"/>
              </w:rPr>
            </w:pPr>
            <w:r>
              <w:rPr>
                <w:rFonts w:hint="eastAsia"/>
                <w:sz w:val="18"/>
                <w:szCs w:val="18"/>
                <w:lang w:val="en-US" w:eastAsia="zh-CN"/>
              </w:rPr>
              <w:t>0</w:t>
            </w:r>
          </w:p>
        </w:tc>
        <w:tc>
          <w:tcPr>
            <w:tcW w:w="1773" w:type="dxa"/>
            <w:vAlign w:val="center"/>
          </w:tcPr>
          <w:p>
            <w:pPr>
              <w:pStyle w:val="20"/>
              <w:spacing w:line="240" w:lineRule="auto"/>
              <w:rPr>
                <w:rFonts w:hint="eastAsia" w:eastAsia="宋体"/>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543.37</w:t>
            </w:r>
          </w:p>
        </w:tc>
        <w:tc>
          <w:tcPr>
            <w:tcW w:w="1389" w:type="dxa"/>
            <w:vAlign w:val="center"/>
          </w:tcPr>
          <w:p>
            <w:pPr>
              <w:pStyle w:val="20"/>
              <w:spacing w:line="240" w:lineRule="auto"/>
              <w:rPr>
                <w:rFonts w:hint="default" w:eastAsia="宋体"/>
                <w:sz w:val="18"/>
                <w:szCs w:val="18"/>
                <w:lang w:val="en-US" w:eastAsia="zh-CN"/>
              </w:rPr>
            </w:pPr>
            <w:r>
              <w:rPr>
                <w:rFonts w:hint="eastAsia"/>
                <w:sz w:val="18"/>
                <w:szCs w:val="18"/>
                <w:lang w:val="en-US" w:eastAsia="zh-CN"/>
              </w:rPr>
              <w:t>+543.37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废电解液空桶</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389</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798</w:t>
            </w:r>
          </w:p>
        </w:tc>
        <w:tc>
          <w:tcPr>
            <w:tcW w:w="1522" w:type="dxa"/>
            <w:vAlign w:val="center"/>
          </w:tcPr>
          <w:p>
            <w:pPr>
              <w:pStyle w:val="20"/>
              <w:spacing w:line="240" w:lineRule="auto"/>
              <w:rPr>
                <w:rFonts w:hint="eastAsia"/>
                <w:sz w:val="18"/>
                <w:szCs w:val="18"/>
                <w:lang w:val="en-US" w:eastAsia="zh-CN"/>
              </w:rPr>
            </w:pPr>
            <w:r>
              <w:rPr>
                <w:rFonts w:hint="eastAsia"/>
                <w:sz w:val="18"/>
                <w:szCs w:val="18"/>
                <w:lang w:val="en-US" w:eastAsia="zh-CN"/>
              </w:rPr>
              <w:t>409</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798</w:t>
            </w:r>
          </w:p>
        </w:tc>
        <w:tc>
          <w:tcPr>
            <w:tcW w:w="1389" w:type="dxa"/>
            <w:vAlign w:val="center"/>
          </w:tcPr>
          <w:p>
            <w:pPr>
              <w:pStyle w:val="20"/>
              <w:spacing w:line="240" w:lineRule="auto"/>
              <w:rPr>
                <w:rFonts w:hint="default"/>
                <w:b/>
                <w:bCs/>
                <w:sz w:val="18"/>
                <w:szCs w:val="18"/>
                <w:lang w:val="en-US" w:eastAsia="zh-CN"/>
              </w:rPr>
            </w:pPr>
            <w:r>
              <w:rPr>
                <w:rFonts w:hint="eastAsia"/>
                <w:sz w:val="18"/>
                <w:szCs w:val="18"/>
                <w:lang w:val="en-US" w:eastAsia="zh-CN"/>
              </w:rPr>
              <w:t>+409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pStyle w:val="20"/>
              <w:spacing w:line="240" w:lineRule="auto"/>
              <w:rPr>
                <w:sz w:val="18"/>
                <w:szCs w:val="18"/>
              </w:rPr>
            </w:pPr>
          </w:p>
        </w:tc>
        <w:tc>
          <w:tcPr>
            <w:tcW w:w="1513" w:type="dxa"/>
            <w:vAlign w:val="center"/>
          </w:tcPr>
          <w:p>
            <w:pPr>
              <w:pStyle w:val="20"/>
              <w:spacing w:line="240" w:lineRule="auto"/>
              <w:rPr>
                <w:rFonts w:hint="eastAsia"/>
                <w:sz w:val="18"/>
                <w:szCs w:val="18"/>
                <w:vertAlign w:val="baseline"/>
                <w:lang w:val="en-US" w:eastAsia="zh-CN"/>
              </w:rPr>
            </w:pPr>
            <w:r>
              <w:rPr>
                <w:rFonts w:hint="eastAsia"/>
                <w:sz w:val="18"/>
                <w:szCs w:val="18"/>
                <w:vertAlign w:val="baseline"/>
                <w:lang w:val="en-US" w:eastAsia="zh-CN"/>
              </w:rPr>
              <w:t>废含油抹布、劳保用品</w:t>
            </w:r>
          </w:p>
        </w:tc>
        <w:tc>
          <w:tcPr>
            <w:tcW w:w="1739" w:type="dxa"/>
            <w:vAlign w:val="center"/>
          </w:tcPr>
          <w:p>
            <w:pPr>
              <w:pStyle w:val="20"/>
              <w:spacing w:line="240" w:lineRule="auto"/>
              <w:rPr>
                <w:rFonts w:hint="default"/>
                <w:sz w:val="18"/>
                <w:szCs w:val="18"/>
                <w:lang w:val="en-US" w:eastAsia="zh-CN"/>
              </w:rPr>
            </w:pPr>
            <w:r>
              <w:rPr>
                <w:rFonts w:hint="eastAsia"/>
                <w:sz w:val="18"/>
                <w:szCs w:val="18"/>
                <w:lang w:val="en-US" w:eastAsia="zh-CN"/>
              </w:rPr>
              <w:t>0.5</w:t>
            </w:r>
          </w:p>
        </w:tc>
        <w:tc>
          <w:tcPr>
            <w:tcW w:w="1597"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522" w:type="dxa"/>
            <w:vAlign w:val="center"/>
          </w:tcPr>
          <w:p>
            <w:pPr>
              <w:pStyle w:val="20"/>
              <w:spacing w:line="240" w:lineRule="auto"/>
              <w:rPr>
                <w:rFonts w:hint="default"/>
                <w:sz w:val="18"/>
                <w:szCs w:val="18"/>
                <w:lang w:val="en-US" w:eastAsia="zh-CN"/>
              </w:rPr>
            </w:pPr>
            <w:r>
              <w:rPr>
                <w:rFonts w:hint="eastAsia"/>
                <w:sz w:val="18"/>
                <w:szCs w:val="18"/>
                <w:lang w:val="en-US" w:eastAsia="zh-CN"/>
              </w:rPr>
              <w:t>2.5</w:t>
            </w:r>
          </w:p>
        </w:tc>
        <w:tc>
          <w:tcPr>
            <w:tcW w:w="1685"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773" w:type="dxa"/>
            <w:vAlign w:val="center"/>
          </w:tcPr>
          <w:p>
            <w:pPr>
              <w:pStyle w:val="20"/>
              <w:spacing w:line="240" w:lineRule="auto"/>
              <w:rPr>
                <w:rFonts w:hint="default"/>
                <w:sz w:val="18"/>
                <w:szCs w:val="18"/>
                <w:lang w:val="en-US" w:eastAsia="zh-CN"/>
              </w:rPr>
            </w:pPr>
            <w:r>
              <w:rPr>
                <w:rFonts w:hint="eastAsia"/>
                <w:sz w:val="18"/>
                <w:szCs w:val="18"/>
                <w:lang w:val="en-US" w:eastAsia="zh-CN"/>
              </w:rPr>
              <w:t>0</w:t>
            </w:r>
          </w:p>
        </w:tc>
        <w:tc>
          <w:tcPr>
            <w:tcW w:w="1666" w:type="dxa"/>
            <w:vAlign w:val="center"/>
          </w:tcPr>
          <w:p>
            <w:pPr>
              <w:pStyle w:val="20"/>
              <w:spacing w:line="240" w:lineRule="auto"/>
              <w:rPr>
                <w:rFonts w:hint="default"/>
                <w:sz w:val="18"/>
                <w:szCs w:val="18"/>
                <w:lang w:val="en-US" w:eastAsia="zh-CN"/>
              </w:rPr>
            </w:pPr>
            <w:r>
              <w:rPr>
                <w:rFonts w:hint="eastAsia"/>
                <w:sz w:val="18"/>
                <w:szCs w:val="18"/>
                <w:lang w:val="en-US" w:eastAsia="zh-CN"/>
              </w:rPr>
              <w:t>3</w:t>
            </w:r>
          </w:p>
        </w:tc>
        <w:tc>
          <w:tcPr>
            <w:tcW w:w="1389" w:type="dxa"/>
            <w:vAlign w:val="center"/>
          </w:tcPr>
          <w:p>
            <w:pPr>
              <w:pStyle w:val="20"/>
              <w:spacing w:line="240" w:lineRule="auto"/>
              <w:rPr>
                <w:rFonts w:hint="default"/>
                <w:sz w:val="18"/>
                <w:szCs w:val="18"/>
                <w:lang w:val="en-US" w:eastAsia="zh-CN"/>
              </w:rPr>
            </w:pPr>
            <w:r>
              <w:rPr>
                <w:rFonts w:hint="eastAsia"/>
                <w:sz w:val="18"/>
                <w:szCs w:val="18"/>
                <w:lang w:val="en-US" w:eastAsia="zh-CN"/>
              </w:rPr>
              <w:t>+2.5</w:t>
            </w:r>
          </w:p>
        </w:tc>
      </w:tr>
    </w:tbl>
    <w:p>
      <w:pPr>
        <w:spacing w:line="360" w:lineRule="exact"/>
        <w:ind w:firstLine="0" w:firstLineChars="0"/>
        <w:jc w:val="left"/>
        <w:rPr>
          <w:rFonts w:ascii="宋体" w:hAnsi="宋体" w:cs="宋体"/>
          <w:sz w:val="36"/>
          <w:szCs w:val="36"/>
        </w:rPr>
      </w:pPr>
      <w:r>
        <w:rPr>
          <w:snapToGrid w:val="0"/>
          <w:kern w:val="21"/>
        </w:rPr>
        <w:t>注：</w:t>
      </w:r>
      <w:r>
        <w:rPr>
          <w:snapToGrid w:val="0"/>
          <w:kern w:val="21"/>
        </w:rPr>
        <w:fldChar w:fldCharType="begin"/>
      </w:r>
      <w:r>
        <w:rPr>
          <w:snapToGrid w:val="0"/>
          <w:kern w:val="21"/>
        </w:rPr>
        <w:instrText xml:space="preserve"> = 6 \* GB3 \* MERGEFORMAT </w:instrText>
      </w:r>
      <w:r>
        <w:rPr>
          <w:snapToGrid w:val="0"/>
          <w:kern w:val="21"/>
        </w:rPr>
        <w:fldChar w:fldCharType="separate"/>
      </w:r>
      <w:r>
        <w:rPr>
          <w:kern w:val="21"/>
        </w:rPr>
        <w:t>⑥</w:t>
      </w:r>
      <w:r>
        <w:rPr>
          <w:snapToGrid w:val="0"/>
          <w:kern w:val="21"/>
        </w:rPr>
        <w:fldChar w:fldCharType="end"/>
      </w:r>
      <w:r>
        <w:rPr>
          <w:snapToGrid w:val="0"/>
          <w:kern w:val="21"/>
        </w:rPr>
        <w:t>=</w:t>
      </w:r>
      <w:r>
        <w:rPr>
          <w:snapToGrid w:val="0"/>
          <w:kern w:val="21"/>
        </w:rPr>
        <w:fldChar w:fldCharType="begin"/>
      </w:r>
      <w:r>
        <w:rPr>
          <w:snapToGrid w:val="0"/>
          <w:kern w:val="21"/>
        </w:rPr>
        <w:instrText xml:space="preserve"> = 1 \* GB3 \* MERGEFORMAT </w:instrText>
      </w:r>
      <w:r>
        <w:rPr>
          <w:snapToGrid w:val="0"/>
          <w:kern w:val="21"/>
        </w:rPr>
        <w:fldChar w:fldCharType="separate"/>
      </w:r>
      <w:r>
        <w:rPr>
          <w:kern w:val="21"/>
        </w:rPr>
        <w:t>①</w:t>
      </w:r>
      <w:r>
        <w:rPr>
          <w:snapToGrid w:val="0"/>
          <w:kern w:val="21"/>
        </w:rPr>
        <w:fldChar w:fldCharType="end"/>
      </w:r>
      <w:r>
        <w:rPr>
          <w:snapToGrid w:val="0"/>
          <w:kern w:val="21"/>
        </w:rPr>
        <w:t>+</w:t>
      </w:r>
      <w:r>
        <w:rPr>
          <w:snapToGrid w:val="0"/>
          <w:kern w:val="21"/>
        </w:rPr>
        <w:fldChar w:fldCharType="begin"/>
      </w:r>
      <w:r>
        <w:rPr>
          <w:snapToGrid w:val="0"/>
          <w:kern w:val="21"/>
        </w:rPr>
        <w:instrText xml:space="preserve"> = 3 \* GB3 \* MERGEFORMAT </w:instrText>
      </w:r>
      <w:r>
        <w:rPr>
          <w:snapToGrid w:val="0"/>
          <w:kern w:val="21"/>
        </w:rPr>
        <w:fldChar w:fldCharType="separate"/>
      </w:r>
      <w:r>
        <w:rPr>
          <w:kern w:val="21"/>
        </w:rPr>
        <w:t>③</w:t>
      </w:r>
      <w:r>
        <w:rPr>
          <w:snapToGrid w:val="0"/>
          <w:kern w:val="21"/>
        </w:rPr>
        <w:fldChar w:fldCharType="end"/>
      </w:r>
      <w:r>
        <w:rPr>
          <w:snapToGrid w:val="0"/>
          <w:kern w:val="21"/>
        </w:rPr>
        <w:t>+</w:t>
      </w:r>
      <w:r>
        <w:rPr>
          <w:snapToGrid w:val="0"/>
          <w:kern w:val="21"/>
        </w:rPr>
        <w:fldChar w:fldCharType="begin"/>
      </w:r>
      <w:r>
        <w:rPr>
          <w:snapToGrid w:val="0"/>
          <w:kern w:val="21"/>
        </w:rPr>
        <w:instrText xml:space="preserve"> = 4 \* GB3 \* MERGEFORMAT </w:instrText>
      </w:r>
      <w:r>
        <w:rPr>
          <w:snapToGrid w:val="0"/>
          <w:kern w:val="21"/>
        </w:rPr>
        <w:fldChar w:fldCharType="separate"/>
      </w:r>
      <w:r>
        <w:rPr>
          <w:kern w:val="21"/>
        </w:rPr>
        <w:t>④</w:t>
      </w:r>
      <w:r>
        <w:rPr>
          <w:snapToGrid w:val="0"/>
          <w:kern w:val="21"/>
        </w:rPr>
        <w:fldChar w:fldCharType="end"/>
      </w:r>
      <w:r>
        <w:rPr>
          <w:snapToGrid w:val="0"/>
          <w:kern w:val="21"/>
        </w:rPr>
        <w:t>-</w:t>
      </w:r>
      <w:r>
        <w:rPr>
          <w:snapToGrid w:val="0"/>
          <w:kern w:val="21"/>
        </w:rPr>
        <w:fldChar w:fldCharType="begin"/>
      </w:r>
      <w:r>
        <w:rPr>
          <w:snapToGrid w:val="0"/>
          <w:kern w:val="21"/>
        </w:rPr>
        <w:instrText xml:space="preserve"> = 5 \* GB3 \* MERGEFORMAT </w:instrText>
      </w:r>
      <w:r>
        <w:rPr>
          <w:snapToGrid w:val="0"/>
          <w:kern w:val="21"/>
        </w:rPr>
        <w:fldChar w:fldCharType="separate"/>
      </w:r>
      <w:r>
        <w:rPr>
          <w:kern w:val="21"/>
        </w:rPr>
        <w:t>⑤</w:t>
      </w:r>
      <w:r>
        <w:rPr>
          <w:snapToGrid w:val="0"/>
          <w:kern w:val="21"/>
        </w:rPr>
        <w:fldChar w:fldCharType="end"/>
      </w:r>
      <w:r>
        <w:rPr>
          <w:snapToGrid w:val="0"/>
          <w:kern w:val="21"/>
        </w:rPr>
        <w:t>；</w:t>
      </w:r>
      <w:r>
        <w:rPr>
          <w:snapToGrid w:val="0"/>
          <w:kern w:val="21"/>
        </w:rPr>
        <w:fldChar w:fldCharType="begin"/>
      </w:r>
      <w:r>
        <w:rPr>
          <w:snapToGrid w:val="0"/>
          <w:kern w:val="21"/>
        </w:rPr>
        <w:instrText xml:space="preserve"> = 7 \* GB3 \* MERGEFORMAT </w:instrText>
      </w:r>
      <w:r>
        <w:rPr>
          <w:snapToGrid w:val="0"/>
          <w:kern w:val="21"/>
        </w:rPr>
        <w:fldChar w:fldCharType="separate"/>
      </w:r>
      <w:r>
        <w:rPr>
          <w:kern w:val="21"/>
        </w:rPr>
        <w:t>⑦</w:t>
      </w:r>
      <w:r>
        <w:rPr>
          <w:snapToGrid w:val="0"/>
          <w:kern w:val="21"/>
        </w:rPr>
        <w:fldChar w:fldCharType="end"/>
      </w:r>
      <w:r>
        <w:rPr>
          <w:snapToGrid w:val="0"/>
          <w:kern w:val="21"/>
        </w:rPr>
        <w:t>=</w:t>
      </w:r>
      <w:r>
        <w:rPr>
          <w:snapToGrid w:val="0"/>
          <w:kern w:val="21"/>
        </w:rPr>
        <w:fldChar w:fldCharType="begin"/>
      </w:r>
      <w:r>
        <w:rPr>
          <w:snapToGrid w:val="0"/>
          <w:kern w:val="21"/>
        </w:rPr>
        <w:instrText xml:space="preserve"> = 6 \* GB3 \* MERGEFORMAT </w:instrText>
      </w:r>
      <w:r>
        <w:rPr>
          <w:snapToGrid w:val="0"/>
          <w:kern w:val="21"/>
        </w:rPr>
        <w:fldChar w:fldCharType="separate"/>
      </w:r>
      <w:r>
        <w:rPr>
          <w:kern w:val="21"/>
        </w:rPr>
        <w:t>⑥</w:t>
      </w:r>
      <w:r>
        <w:rPr>
          <w:snapToGrid w:val="0"/>
          <w:kern w:val="21"/>
        </w:rPr>
        <w:fldChar w:fldCharType="end"/>
      </w:r>
      <w:r>
        <w:rPr>
          <w:snapToGrid w:val="0"/>
          <w:kern w:val="21"/>
        </w:rPr>
        <w:t>-</w:t>
      </w:r>
      <w:r>
        <w:rPr>
          <w:snapToGrid w:val="0"/>
          <w:kern w:val="21"/>
        </w:rPr>
        <w:fldChar w:fldCharType="begin"/>
      </w:r>
      <w:r>
        <w:rPr>
          <w:snapToGrid w:val="0"/>
          <w:kern w:val="21"/>
        </w:rPr>
        <w:instrText xml:space="preserve"> = 1 \* GB3 \* MERGEFORMAT </w:instrText>
      </w:r>
      <w:r>
        <w:rPr>
          <w:snapToGrid w:val="0"/>
          <w:kern w:val="21"/>
        </w:rPr>
        <w:fldChar w:fldCharType="separate"/>
      </w:r>
      <w:r>
        <w:rPr>
          <w:kern w:val="21"/>
        </w:rPr>
        <w:t>①</w:t>
      </w:r>
      <w:r>
        <w:rPr>
          <w:snapToGrid w:val="0"/>
          <w:kern w:val="21"/>
        </w:rPr>
        <w:fldChar w:fldCharType="end"/>
      </w: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5K3pfhcCAAAVBAAADgAAAAAA&#10;AAABACAAAAAfAQAAZHJzL2Uyb0RvYy54bWxQSwUGAAAAAAYABgBZAQAAqA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F4400F"/>
    <w:multiLevelType w:val="singleLevel"/>
    <w:tmpl w:val="A6F4400F"/>
    <w:lvl w:ilvl="0" w:tentative="0">
      <w:start w:val="1"/>
      <w:numFmt w:val="decimal"/>
      <w:suff w:val="nothing"/>
      <w:lvlText w:val="（%1）"/>
      <w:lvlJc w:val="left"/>
    </w:lvl>
  </w:abstractNum>
  <w:abstractNum w:abstractNumId="1">
    <w:nsid w:val="FDEEED6B"/>
    <w:multiLevelType w:val="singleLevel"/>
    <w:tmpl w:val="FDEEED6B"/>
    <w:lvl w:ilvl="0" w:tentative="0">
      <w:start w:val="1"/>
      <w:numFmt w:val="decimal"/>
      <w:suff w:val="nothing"/>
      <w:lvlText w:val="（%1）"/>
      <w:lvlJc w:val="left"/>
    </w:lvl>
  </w:abstractNum>
  <w:abstractNum w:abstractNumId="2">
    <w:nsid w:val="69B64AB8"/>
    <w:multiLevelType w:val="singleLevel"/>
    <w:tmpl w:val="69B64AB8"/>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ODJjYzU2NmIxMzJiZmE0M2U2N2IxNzFlZTk0NWUifQ=="/>
  </w:docVars>
  <w:rsids>
    <w:rsidRoot w:val="0032484C"/>
    <w:rsid w:val="00054738"/>
    <w:rsid w:val="00061100"/>
    <w:rsid w:val="00080988"/>
    <w:rsid w:val="00087A9C"/>
    <w:rsid w:val="00092527"/>
    <w:rsid w:val="000A24E1"/>
    <w:rsid w:val="000A3D83"/>
    <w:rsid w:val="000A7EE8"/>
    <w:rsid w:val="000D67F9"/>
    <w:rsid w:val="000E08A7"/>
    <w:rsid w:val="000F1C9A"/>
    <w:rsid w:val="00155EAD"/>
    <w:rsid w:val="001E5512"/>
    <w:rsid w:val="00250311"/>
    <w:rsid w:val="00251EFF"/>
    <w:rsid w:val="002A3528"/>
    <w:rsid w:val="002D5F75"/>
    <w:rsid w:val="0032484C"/>
    <w:rsid w:val="00353B25"/>
    <w:rsid w:val="00383968"/>
    <w:rsid w:val="003A08AD"/>
    <w:rsid w:val="0041700E"/>
    <w:rsid w:val="00453197"/>
    <w:rsid w:val="004646AC"/>
    <w:rsid w:val="00475EFB"/>
    <w:rsid w:val="00476A13"/>
    <w:rsid w:val="0048250D"/>
    <w:rsid w:val="004D0FED"/>
    <w:rsid w:val="004E6D53"/>
    <w:rsid w:val="005162DF"/>
    <w:rsid w:val="005217EE"/>
    <w:rsid w:val="0059596B"/>
    <w:rsid w:val="005C145D"/>
    <w:rsid w:val="005C1DC1"/>
    <w:rsid w:val="005D200B"/>
    <w:rsid w:val="005F5118"/>
    <w:rsid w:val="00622287"/>
    <w:rsid w:val="006412C7"/>
    <w:rsid w:val="00671F52"/>
    <w:rsid w:val="006812D5"/>
    <w:rsid w:val="00723EFD"/>
    <w:rsid w:val="007371CE"/>
    <w:rsid w:val="00746C86"/>
    <w:rsid w:val="00787E78"/>
    <w:rsid w:val="007E109A"/>
    <w:rsid w:val="00806CA6"/>
    <w:rsid w:val="0084373C"/>
    <w:rsid w:val="0086781B"/>
    <w:rsid w:val="00870B6B"/>
    <w:rsid w:val="008C343D"/>
    <w:rsid w:val="008D4794"/>
    <w:rsid w:val="0092337A"/>
    <w:rsid w:val="00946D3D"/>
    <w:rsid w:val="009914DA"/>
    <w:rsid w:val="00A858F8"/>
    <w:rsid w:val="00AD6ECD"/>
    <w:rsid w:val="00B678F5"/>
    <w:rsid w:val="00BE4757"/>
    <w:rsid w:val="00BE5A3C"/>
    <w:rsid w:val="00C15B99"/>
    <w:rsid w:val="00C5196B"/>
    <w:rsid w:val="00CC26A0"/>
    <w:rsid w:val="00CE3A75"/>
    <w:rsid w:val="00D028BC"/>
    <w:rsid w:val="00D47325"/>
    <w:rsid w:val="00D537F5"/>
    <w:rsid w:val="00D574BB"/>
    <w:rsid w:val="00D80453"/>
    <w:rsid w:val="00D8071B"/>
    <w:rsid w:val="00DC286C"/>
    <w:rsid w:val="00DD6256"/>
    <w:rsid w:val="00DE5BD2"/>
    <w:rsid w:val="00E1783C"/>
    <w:rsid w:val="00ED597C"/>
    <w:rsid w:val="00EF3D74"/>
    <w:rsid w:val="00EF7196"/>
    <w:rsid w:val="00F041B7"/>
    <w:rsid w:val="00F11C95"/>
    <w:rsid w:val="00F51BA0"/>
    <w:rsid w:val="00F960CC"/>
    <w:rsid w:val="00FA7242"/>
    <w:rsid w:val="0133108B"/>
    <w:rsid w:val="016F13CB"/>
    <w:rsid w:val="01E80B45"/>
    <w:rsid w:val="02BC3124"/>
    <w:rsid w:val="02C45D88"/>
    <w:rsid w:val="03516D25"/>
    <w:rsid w:val="0364066A"/>
    <w:rsid w:val="03AE641D"/>
    <w:rsid w:val="0451447E"/>
    <w:rsid w:val="049B38C4"/>
    <w:rsid w:val="04D30A3C"/>
    <w:rsid w:val="04FE657B"/>
    <w:rsid w:val="055C7090"/>
    <w:rsid w:val="05663B1F"/>
    <w:rsid w:val="06061AA5"/>
    <w:rsid w:val="061812EF"/>
    <w:rsid w:val="062C19C5"/>
    <w:rsid w:val="069E665F"/>
    <w:rsid w:val="073C5001"/>
    <w:rsid w:val="0831668C"/>
    <w:rsid w:val="08C7296C"/>
    <w:rsid w:val="090010E9"/>
    <w:rsid w:val="09737363"/>
    <w:rsid w:val="098B4709"/>
    <w:rsid w:val="09EB0C65"/>
    <w:rsid w:val="0BF50C66"/>
    <w:rsid w:val="0C9878FF"/>
    <w:rsid w:val="0CDE32BB"/>
    <w:rsid w:val="0D25079A"/>
    <w:rsid w:val="0D3424D3"/>
    <w:rsid w:val="0E864720"/>
    <w:rsid w:val="0E9853D4"/>
    <w:rsid w:val="0EB12961"/>
    <w:rsid w:val="0EBB26C3"/>
    <w:rsid w:val="0ED55832"/>
    <w:rsid w:val="0F332E48"/>
    <w:rsid w:val="0FA81AB8"/>
    <w:rsid w:val="0FF80C3C"/>
    <w:rsid w:val="10195DEE"/>
    <w:rsid w:val="106F15E6"/>
    <w:rsid w:val="107F3F03"/>
    <w:rsid w:val="109D3AFD"/>
    <w:rsid w:val="10E86EC6"/>
    <w:rsid w:val="1113134F"/>
    <w:rsid w:val="113A3640"/>
    <w:rsid w:val="116A3B04"/>
    <w:rsid w:val="11D25106"/>
    <w:rsid w:val="12320297"/>
    <w:rsid w:val="12881994"/>
    <w:rsid w:val="12E34BA6"/>
    <w:rsid w:val="13443DC4"/>
    <w:rsid w:val="139D6C46"/>
    <w:rsid w:val="13EA5FC2"/>
    <w:rsid w:val="140B7932"/>
    <w:rsid w:val="146401FE"/>
    <w:rsid w:val="153C7E8D"/>
    <w:rsid w:val="15A55A5D"/>
    <w:rsid w:val="15B65AB3"/>
    <w:rsid w:val="1615119F"/>
    <w:rsid w:val="1667539C"/>
    <w:rsid w:val="16ED4D9E"/>
    <w:rsid w:val="1753439F"/>
    <w:rsid w:val="1776250E"/>
    <w:rsid w:val="17A048B8"/>
    <w:rsid w:val="17D51817"/>
    <w:rsid w:val="18583CC8"/>
    <w:rsid w:val="18CD0091"/>
    <w:rsid w:val="18F73309"/>
    <w:rsid w:val="1A110B16"/>
    <w:rsid w:val="1A176EE9"/>
    <w:rsid w:val="1A9545AF"/>
    <w:rsid w:val="1B783B61"/>
    <w:rsid w:val="1BA835B0"/>
    <w:rsid w:val="1C263A66"/>
    <w:rsid w:val="1CC33297"/>
    <w:rsid w:val="1CC35A4E"/>
    <w:rsid w:val="1CC87BC9"/>
    <w:rsid w:val="1DEE68C1"/>
    <w:rsid w:val="1E2B37D0"/>
    <w:rsid w:val="1E9D23EA"/>
    <w:rsid w:val="1EA2238C"/>
    <w:rsid w:val="1F1E19A0"/>
    <w:rsid w:val="1F2F132F"/>
    <w:rsid w:val="1F606283"/>
    <w:rsid w:val="1FAD6F78"/>
    <w:rsid w:val="20C46BE9"/>
    <w:rsid w:val="20FD103E"/>
    <w:rsid w:val="21541EB5"/>
    <w:rsid w:val="21BD32F0"/>
    <w:rsid w:val="21C446A7"/>
    <w:rsid w:val="221F626B"/>
    <w:rsid w:val="228A0184"/>
    <w:rsid w:val="24401D91"/>
    <w:rsid w:val="24BC247F"/>
    <w:rsid w:val="24D1143C"/>
    <w:rsid w:val="250D4C9A"/>
    <w:rsid w:val="25AA3C37"/>
    <w:rsid w:val="25C5389C"/>
    <w:rsid w:val="25D61B3D"/>
    <w:rsid w:val="25FD5DBC"/>
    <w:rsid w:val="26C222FC"/>
    <w:rsid w:val="27CF3FAB"/>
    <w:rsid w:val="288C0BCF"/>
    <w:rsid w:val="28976054"/>
    <w:rsid w:val="294A507C"/>
    <w:rsid w:val="296E487C"/>
    <w:rsid w:val="29A320D1"/>
    <w:rsid w:val="29C00F71"/>
    <w:rsid w:val="2A4D62F9"/>
    <w:rsid w:val="2ACB17B2"/>
    <w:rsid w:val="2B152CC1"/>
    <w:rsid w:val="2B7A4092"/>
    <w:rsid w:val="2C2E4348"/>
    <w:rsid w:val="2C695ABF"/>
    <w:rsid w:val="2CD71DE9"/>
    <w:rsid w:val="2D423736"/>
    <w:rsid w:val="2D83767A"/>
    <w:rsid w:val="2DCC636C"/>
    <w:rsid w:val="2E4A695A"/>
    <w:rsid w:val="2EE12056"/>
    <w:rsid w:val="2F7A7E16"/>
    <w:rsid w:val="2FDD3ED0"/>
    <w:rsid w:val="301B7633"/>
    <w:rsid w:val="303F5CB3"/>
    <w:rsid w:val="31071BD3"/>
    <w:rsid w:val="310A5AB1"/>
    <w:rsid w:val="311D505C"/>
    <w:rsid w:val="313823A0"/>
    <w:rsid w:val="3140483B"/>
    <w:rsid w:val="31711C2C"/>
    <w:rsid w:val="31DD725D"/>
    <w:rsid w:val="321D5BA8"/>
    <w:rsid w:val="328F768F"/>
    <w:rsid w:val="337C214A"/>
    <w:rsid w:val="33D61B03"/>
    <w:rsid w:val="33F24BA2"/>
    <w:rsid w:val="341A787E"/>
    <w:rsid w:val="34AA3103"/>
    <w:rsid w:val="353D58FA"/>
    <w:rsid w:val="36401837"/>
    <w:rsid w:val="367B5EDC"/>
    <w:rsid w:val="36FA7FD9"/>
    <w:rsid w:val="37254EAC"/>
    <w:rsid w:val="377436BE"/>
    <w:rsid w:val="37943C73"/>
    <w:rsid w:val="382F15F3"/>
    <w:rsid w:val="391C7615"/>
    <w:rsid w:val="39216355"/>
    <w:rsid w:val="39C86868"/>
    <w:rsid w:val="39D569DC"/>
    <w:rsid w:val="39EB551C"/>
    <w:rsid w:val="3A202C3C"/>
    <w:rsid w:val="3A2731AD"/>
    <w:rsid w:val="3A8B590E"/>
    <w:rsid w:val="3AAE66E9"/>
    <w:rsid w:val="3AAF69CB"/>
    <w:rsid w:val="3B3175C8"/>
    <w:rsid w:val="3B8C396D"/>
    <w:rsid w:val="3BCB67F2"/>
    <w:rsid w:val="3C2018C2"/>
    <w:rsid w:val="3C986626"/>
    <w:rsid w:val="3CB755BE"/>
    <w:rsid w:val="3D016434"/>
    <w:rsid w:val="3D033A9F"/>
    <w:rsid w:val="3D1B30D0"/>
    <w:rsid w:val="3E8679F3"/>
    <w:rsid w:val="3EBC4B35"/>
    <w:rsid w:val="3EF74B36"/>
    <w:rsid w:val="3FBA2450"/>
    <w:rsid w:val="4094281D"/>
    <w:rsid w:val="40A73BD1"/>
    <w:rsid w:val="40B91D4E"/>
    <w:rsid w:val="41360B69"/>
    <w:rsid w:val="415A0F50"/>
    <w:rsid w:val="417D0ACC"/>
    <w:rsid w:val="41D44B11"/>
    <w:rsid w:val="41F96323"/>
    <w:rsid w:val="421107CE"/>
    <w:rsid w:val="42113C34"/>
    <w:rsid w:val="422A5387"/>
    <w:rsid w:val="427747CC"/>
    <w:rsid w:val="429350BD"/>
    <w:rsid w:val="43363CFC"/>
    <w:rsid w:val="437D0D41"/>
    <w:rsid w:val="43D10840"/>
    <w:rsid w:val="43D76CA7"/>
    <w:rsid w:val="44FD5FEC"/>
    <w:rsid w:val="45BE5AEB"/>
    <w:rsid w:val="45C61FDC"/>
    <w:rsid w:val="45D61E61"/>
    <w:rsid w:val="45F453B1"/>
    <w:rsid w:val="46364067"/>
    <w:rsid w:val="466E464C"/>
    <w:rsid w:val="46D464D1"/>
    <w:rsid w:val="46E3486D"/>
    <w:rsid w:val="47444E28"/>
    <w:rsid w:val="48007888"/>
    <w:rsid w:val="48783B10"/>
    <w:rsid w:val="48837C69"/>
    <w:rsid w:val="48AB1039"/>
    <w:rsid w:val="48C54F92"/>
    <w:rsid w:val="48E544B0"/>
    <w:rsid w:val="49B7309A"/>
    <w:rsid w:val="4A1660E5"/>
    <w:rsid w:val="4A4E14D2"/>
    <w:rsid w:val="4A537FFD"/>
    <w:rsid w:val="4A7106B1"/>
    <w:rsid w:val="4AE927FF"/>
    <w:rsid w:val="4BCC19CA"/>
    <w:rsid w:val="4C176A51"/>
    <w:rsid w:val="4C221514"/>
    <w:rsid w:val="4C4229E7"/>
    <w:rsid w:val="4C5A5AFA"/>
    <w:rsid w:val="4CDE6058"/>
    <w:rsid w:val="4CE35592"/>
    <w:rsid w:val="4CFD1AEA"/>
    <w:rsid w:val="4D053938"/>
    <w:rsid w:val="4D076123"/>
    <w:rsid w:val="4E811E23"/>
    <w:rsid w:val="4F381D7B"/>
    <w:rsid w:val="5111190A"/>
    <w:rsid w:val="514046C9"/>
    <w:rsid w:val="519F1018"/>
    <w:rsid w:val="52EA171B"/>
    <w:rsid w:val="53002989"/>
    <w:rsid w:val="53CB0425"/>
    <w:rsid w:val="53E20A88"/>
    <w:rsid w:val="54950E37"/>
    <w:rsid w:val="549F6645"/>
    <w:rsid w:val="54B63E6D"/>
    <w:rsid w:val="54CC6E2E"/>
    <w:rsid w:val="55066AC0"/>
    <w:rsid w:val="554C2701"/>
    <w:rsid w:val="558E6990"/>
    <w:rsid w:val="55D74DB4"/>
    <w:rsid w:val="55DB091A"/>
    <w:rsid w:val="562629D3"/>
    <w:rsid w:val="57192B7D"/>
    <w:rsid w:val="571A2066"/>
    <w:rsid w:val="5755577A"/>
    <w:rsid w:val="57C2721F"/>
    <w:rsid w:val="57FB4B6C"/>
    <w:rsid w:val="58391929"/>
    <w:rsid w:val="587C0488"/>
    <w:rsid w:val="593D2562"/>
    <w:rsid w:val="5A3908E3"/>
    <w:rsid w:val="5A7616BE"/>
    <w:rsid w:val="5AFA3A1E"/>
    <w:rsid w:val="5B8F4646"/>
    <w:rsid w:val="5C3B2D32"/>
    <w:rsid w:val="5C50451B"/>
    <w:rsid w:val="5DAC3170"/>
    <w:rsid w:val="5E423D8A"/>
    <w:rsid w:val="5EAD68FE"/>
    <w:rsid w:val="5EF50FD2"/>
    <w:rsid w:val="5F082CB8"/>
    <w:rsid w:val="61421EF4"/>
    <w:rsid w:val="63C107DF"/>
    <w:rsid w:val="643124B8"/>
    <w:rsid w:val="649E6DBC"/>
    <w:rsid w:val="65276935"/>
    <w:rsid w:val="6590274F"/>
    <w:rsid w:val="65E1283E"/>
    <w:rsid w:val="66050E00"/>
    <w:rsid w:val="660C337A"/>
    <w:rsid w:val="66363949"/>
    <w:rsid w:val="664A541D"/>
    <w:rsid w:val="66B66FD3"/>
    <w:rsid w:val="68212EBE"/>
    <w:rsid w:val="68696CDE"/>
    <w:rsid w:val="687E011D"/>
    <w:rsid w:val="68856E1A"/>
    <w:rsid w:val="68D26ABF"/>
    <w:rsid w:val="699D2402"/>
    <w:rsid w:val="69F16C47"/>
    <w:rsid w:val="6A246196"/>
    <w:rsid w:val="6A28537B"/>
    <w:rsid w:val="6B245A68"/>
    <w:rsid w:val="6B281BC4"/>
    <w:rsid w:val="6B4C1DF9"/>
    <w:rsid w:val="6B5A054A"/>
    <w:rsid w:val="6C022DB1"/>
    <w:rsid w:val="6C0851FB"/>
    <w:rsid w:val="6C21438F"/>
    <w:rsid w:val="6C414AEE"/>
    <w:rsid w:val="6CA508D8"/>
    <w:rsid w:val="6D0A2DEA"/>
    <w:rsid w:val="6D445C86"/>
    <w:rsid w:val="6D4B7285"/>
    <w:rsid w:val="6D8E109A"/>
    <w:rsid w:val="6E7171CC"/>
    <w:rsid w:val="6EB476C5"/>
    <w:rsid w:val="6F0758F7"/>
    <w:rsid w:val="6F8D32DA"/>
    <w:rsid w:val="6FD0670D"/>
    <w:rsid w:val="701964DE"/>
    <w:rsid w:val="703B46A3"/>
    <w:rsid w:val="70A544A6"/>
    <w:rsid w:val="7147602C"/>
    <w:rsid w:val="718C4B45"/>
    <w:rsid w:val="719426FE"/>
    <w:rsid w:val="71C7700F"/>
    <w:rsid w:val="7257081E"/>
    <w:rsid w:val="738D4AD1"/>
    <w:rsid w:val="73FC3B7F"/>
    <w:rsid w:val="74643329"/>
    <w:rsid w:val="749E2CDF"/>
    <w:rsid w:val="74B27C31"/>
    <w:rsid w:val="74DF40F7"/>
    <w:rsid w:val="74E44FA9"/>
    <w:rsid w:val="75090DB5"/>
    <w:rsid w:val="752C2C18"/>
    <w:rsid w:val="75637CBC"/>
    <w:rsid w:val="75AE12D1"/>
    <w:rsid w:val="7668791E"/>
    <w:rsid w:val="76762790"/>
    <w:rsid w:val="7772137F"/>
    <w:rsid w:val="77F721D5"/>
    <w:rsid w:val="782333DD"/>
    <w:rsid w:val="789F0E80"/>
    <w:rsid w:val="78B07D48"/>
    <w:rsid w:val="78FC6BD7"/>
    <w:rsid w:val="79095C01"/>
    <w:rsid w:val="79214AA2"/>
    <w:rsid w:val="793F73F3"/>
    <w:rsid w:val="797D5F4C"/>
    <w:rsid w:val="7A2746FD"/>
    <w:rsid w:val="7A3B1515"/>
    <w:rsid w:val="7A9D426F"/>
    <w:rsid w:val="7AC027B5"/>
    <w:rsid w:val="7C7742E7"/>
    <w:rsid w:val="7CAE0B3B"/>
    <w:rsid w:val="7CCB6C1D"/>
    <w:rsid w:val="7DD4644C"/>
    <w:rsid w:val="7E192007"/>
    <w:rsid w:val="7E1A6567"/>
    <w:rsid w:val="7E593D0F"/>
    <w:rsid w:val="7E7D19C9"/>
    <w:rsid w:val="7F0D3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460" w:lineRule="exact"/>
      <w:ind w:firstLine="720" w:firstLineChars="200"/>
      <w:jc w:val="both"/>
    </w:pPr>
    <w:rPr>
      <w:rFonts w:ascii="Times New Roman" w:hAnsi="Times New Roman" w:eastAsia="宋体" w:cstheme="minorBidi"/>
      <w:color w:val="000000"/>
      <w:sz w:val="21"/>
      <w:szCs w:val="24"/>
      <w:lang w:val="en-US" w:eastAsia="zh-CN" w:bidi="ar-SA"/>
    </w:rPr>
  </w:style>
  <w:style w:type="paragraph" w:styleId="4">
    <w:name w:val="heading 1"/>
    <w:basedOn w:val="1"/>
    <w:next w:val="1"/>
    <w:link w:val="21"/>
    <w:qFormat/>
    <w:uiPriority w:val="0"/>
    <w:pPr>
      <w:keepNext/>
      <w:keepLines/>
      <w:spacing w:before="0" w:line="460" w:lineRule="exact"/>
      <w:ind w:firstLine="0" w:firstLineChars="0"/>
      <w:jc w:val="left"/>
      <w:outlineLvl w:val="0"/>
    </w:pPr>
    <w:rPr>
      <w:rFonts w:cs="Times New Roman"/>
      <w:b/>
      <w:snapToGrid w:val="0"/>
      <w:kern w:val="44"/>
      <w:sz w:val="30"/>
      <w:szCs w:val="21"/>
    </w:rPr>
  </w:style>
  <w:style w:type="paragraph" w:styleId="5">
    <w:name w:val="heading 2"/>
    <w:basedOn w:val="1"/>
    <w:next w:val="1"/>
    <w:unhideWhenUsed/>
    <w:qFormat/>
    <w:uiPriority w:val="0"/>
    <w:pPr>
      <w:spacing w:before="0" w:beforeLines="0" w:line="460" w:lineRule="exact"/>
      <w:ind w:firstLine="0" w:firstLineChars="0"/>
      <w:jc w:val="left"/>
      <w:outlineLvl w:val="1"/>
    </w:pPr>
    <w:rPr>
      <w:rFonts w:hint="eastAsia" w:cs="Times New Roman"/>
      <w:b/>
      <w:bCs/>
      <w:szCs w:val="36"/>
    </w:rPr>
  </w:style>
  <w:style w:type="paragraph" w:styleId="6">
    <w:name w:val="heading 3"/>
    <w:basedOn w:val="1"/>
    <w:next w:val="1"/>
    <w:unhideWhenUsed/>
    <w:qFormat/>
    <w:uiPriority w:val="0"/>
    <w:pPr>
      <w:keepNext/>
      <w:keepLines/>
      <w:spacing w:before="0" w:line="460" w:lineRule="exact"/>
      <w:ind w:firstLine="0" w:firstLineChars="0"/>
      <w:jc w:val="left"/>
      <w:outlineLvl w:val="2"/>
    </w:pPr>
    <w:rPr>
      <w:rFonts w:cs="Times New Roman"/>
      <w:b/>
      <w:kern w:val="2"/>
      <w:szCs w:val="21"/>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toc 1"/>
    <w:basedOn w:val="1"/>
    <w:next w:val="1"/>
    <w:qFormat/>
    <w:uiPriority w:val="39"/>
    <w:pPr>
      <w:tabs>
        <w:tab w:val="right" w:leader="dot" w:pos="7920"/>
      </w:tabs>
      <w:adjustRightInd w:val="0"/>
      <w:spacing w:before="120" w:after="120"/>
      <w:ind w:right="1620" w:rightChars="600"/>
      <w:jc w:val="center"/>
    </w:pPr>
    <w:rPr>
      <w:b/>
      <w:bCs/>
      <w:caps/>
      <w:sz w:val="24"/>
    </w:rPr>
  </w:style>
  <w:style w:type="paragraph" w:styleId="7">
    <w:name w:val="Normal Indent"/>
    <w:basedOn w:val="1"/>
    <w:qFormat/>
    <w:uiPriority w:val="0"/>
    <w:pPr>
      <w:ind w:firstLine="420"/>
    </w:pPr>
    <w:rPr>
      <w:szCs w:val="20"/>
    </w:rPr>
  </w:style>
  <w:style w:type="paragraph" w:styleId="8">
    <w:name w:val="annotation text"/>
    <w:basedOn w:val="1"/>
    <w:link w:val="24"/>
    <w:qFormat/>
    <w:uiPriority w:val="0"/>
    <w:pPr>
      <w:jc w:val="left"/>
    </w:pPr>
  </w:style>
  <w:style w:type="paragraph" w:styleId="9">
    <w:name w:val="Body Text"/>
    <w:basedOn w:val="1"/>
    <w:next w:val="1"/>
    <w:qFormat/>
    <w:uiPriority w:val="0"/>
    <w:rPr>
      <w:rFonts w:eastAsia="Times New Roman" w:cs="Times New Roman"/>
      <w:szCs w:val="28"/>
      <w:lang w:eastAsia="en-US"/>
    </w:rPr>
  </w:style>
  <w:style w:type="paragraph" w:styleId="10">
    <w:name w:val="Balloon Text"/>
    <w:basedOn w:val="1"/>
    <w:link w:val="26"/>
    <w:qFormat/>
    <w:uiPriority w:val="0"/>
    <w:pPr>
      <w:spacing w:line="240" w:lineRule="auto"/>
    </w:pPr>
    <w:rPr>
      <w:sz w:val="18"/>
      <w:szCs w:val="18"/>
    </w:rPr>
  </w:style>
  <w:style w:type="paragraph" w:styleId="11">
    <w:name w:val="footer"/>
    <w:basedOn w:val="1"/>
    <w:qFormat/>
    <w:uiPriority w:val="99"/>
    <w:pPr>
      <w:tabs>
        <w:tab w:val="center" w:pos="4153"/>
        <w:tab w:val="right" w:pos="8306"/>
      </w:tabs>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3">
    <w:name w:val="Body Text Indent 3"/>
    <w:basedOn w:val="1"/>
    <w:qFormat/>
    <w:uiPriority w:val="0"/>
    <w:pPr>
      <w:spacing w:line="360" w:lineRule="auto"/>
      <w:ind w:firstLine="425"/>
    </w:pPr>
    <w:rPr>
      <w:sz w:val="21"/>
    </w:rPr>
  </w:style>
  <w:style w:type="paragraph" w:styleId="14">
    <w:name w:val="annotation subject"/>
    <w:basedOn w:val="8"/>
    <w:next w:val="8"/>
    <w:link w:val="25"/>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styleId="19">
    <w:name w:val="annotation reference"/>
    <w:qFormat/>
    <w:uiPriority w:val="99"/>
    <w:rPr>
      <w:sz w:val="21"/>
    </w:rPr>
  </w:style>
  <w:style w:type="paragraph" w:customStyle="1" w:styleId="20">
    <w:name w:val="表格正文"/>
    <w:basedOn w:val="1"/>
    <w:link w:val="22"/>
    <w:qFormat/>
    <w:uiPriority w:val="99"/>
    <w:pPr>
      <w:spacing w:line="240" w:lineRule="auto"/>
      <w:ind w:firstLine="0" w:firstLineChars="0"/>
      <w:jc w:val="center"/>
    </w:pPr>
    <w:rPr>
      <w:rFonts w:cs="Times New Roman"/>
      <w:kern w:val="2"/>
      <w:sz w:val="18"/>
    </w:rPr>
  </w:style>
  <w:style w:type="character" w:customStyle="1" w:styleId="21">
    <w:name w:val="标题 1 字符"/>
    <w:link w:val="4"/>
    <w:qFormat/>
    <w:uiPriority w:val="0"/>
    <w:rPr>
      <w:rFonts w:eastAsia="宋体" w:cs="Times New Roman"/>
      <w:b/>
      <w:snapToGrid w:val="0"/>
      <w:kern w:val="44"/>
      <w:sz w:val="30"/>
      <w:szCs w:val="21"/>
    </w:rPr>
  </w:style>
  <w:style w:type="character" w:customStyle="1" w:styleId="22">
    <w:name w:val="表格正文 Char"/>
    <w:link w:val="20"/>
    <w:qFormat/>
    <w:uiPriority w:val="99"/>
    <w:rPr>
      <w:rFonts w:cs="Times New Roman"/>
      <w:kern w:val="2"/>
      <w:sz w:val="18"/>
    </w:rPr>
  </w:style>
  <w:style w:type="table" w:customStyle="1" w:styleId="23">
    <w:name w:val="Table Normal"/>
    <w:semiHidden/>
    <w:unhideWhenUsed/>
    <w:qFormat/>
    <w:uiPriority w:val="0"/>
    <w:tblPr>
      <w:tblCellMar>
        <w:top w:w="0" w:type="dxa"/>
        <w:left w:w="0" w:type="dxa"/>
        <w:bottom w:w="0" w:type="dxa"/>
        <w:right w:w="0" w:type="dxa"/>
      </w:tblCellMar>
    </w:tblPr>
  </w:style>
  <w:style w:type="character" w:customStyle="1" w:styleId="24">
    <w:name w:val="批注文字 字符"/>
    <w:basedOn w:val="17"/>
    <w:link w:val="8"/>
    <w:qFormat/>
    <w:uiPriority w:val="0"/>
    <w:rPr>
      <w:rFonts w:cstheme="minorBidi"/>
      <w:color w:val="000000"/>
      <w:sz w:val="21"/>
      <w:szCs w:val="24"/>
    </w:rPr>
  </w:style>
  <w:style w:type="character" w:customStyle="1" w:styleId="25">
    <w:name w:val="批注主题 字符"/>
    <w:basedOn w:val="24"/>
    <w:link w:val="14"/>
    <w:qFormat/>
    <w:uiPriority w:val="0"/>
    <w:rPr>
      <w:rFonts w:cstheme="minorBidi"/>
      <w:b/>
      <w:bCs/>
      <w:color w:val="000000"/>
      <w:sz w:val="21"/>
      <w:szCs w:val="24"/>
    </w:rPr>
  </w:style>
  <w:style w:type="character" w:customStyle="1" w:styleId="26">
    <w:name w:val="批注框文本 字符"/>
    <w:basedOn w:val="17"/>
    <w:link w:val="10"/>
    <w:qFormat/>
    <w:uiPriority w:val="0"/>
    <w:rPr>
      <w:rFonts w:cstheme="minorBidi"/>
      <w:color w:val="000000"/>
      <w:sz w:val="18"/>
      <w:szCs w:val="18"/>
    </w:rPr>
  </w:style>
  <w:style w:type="paragraph" w:customStyle="1" w:styleId="27">
    <w:name w:val="修订1"/>
    <w:hidden/>
    <w:semiHidden/>
    <w:qFormat/>
    <w:uiPriority w:val="99"/>
    <w:rPr>
      <w:rFonts w:ascii="Times New Roman" w:hAnsi="Times New Roman" w:eastAsia="宋体" w:cstheme="minorBidi"/>
      <w:color w:val="000000"/>
      <w:sz w:val="21"/>
      <w:szCs w:val="24"/>
      <w:lang w:val="en-US" w:eastAsia="zh-CN" w:bidi="ar-SA"/>
    </w:rPr>
  </w:style>
  <w:style w:type="paragraph" w:customStyle="1" w:styleId="28">
    <w:name w:val="Table Text"/>
    <w:basedOn w:val="1"/>
    <w:semiHidden/>
    <w:qFormat/>
    <w:uiPriority w:val="0"/>
    <w:rPr>
      <w:rFonts w:ascii="宋体" w:hAnsi="宋体" w:cs="宋体"/>
      <w:sz w:val="20"/>
      <w:szCs w:val="20"/>
      <w:lang w:eastAsia="en-US"/>
    </w:rPr>
  </w:style>
  <w:style w:type="paragraph" w:customStyle="1" w:styleId="2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1" Type="http://schemas.openxmlformats.org/officeDocument/2006/relationships/fontTable" Target="fontTable.xml"/><Relationship Id="rId60" Type="http://schemas.openxmlformats.org/officeDocument/2006/relationships/customXml" Target="../customXml/item2.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39.emf"/><Relationship Id="rId56" Type="http://schemas.openxmlformats.org/officeDocument/2006/relationships/oleObject" Target="embeddings/oleObject7.bin"/><Relationship Id="rId55" Type="http://schemas.openxmlformats.org/officeDocument/2006/relationships/image" Target="media/image38.png"/><Relationship Id="rId54" Type="http://schemas.openxmlformats.org/officeDocument/2006/relationships/image" Target="media/image37.wmf"/><Relationship Id="rId53" Type="http://schemas.openxmlformats.org/officeDocument/2006/relationships/oleObject" Target="embeddings/oleObject6.bin"/><Relationship Id="rId52" Type="http://schemas.openxmlformats.org/officeDocument/2006/relationships/image" Target="media/image36.png"/><Relationship Id="rId51" Type="http://schemas.openxmlformats.org/officeDocument/2006/relationships/image" Target="media/image35.png"/><Relationship Id="rId50" Type="http://schemas.openxmlformats.org/officeDocument/2006/relationships/image" Target="media/image34.jpeg"/><Relationship Id="rId5" Type="http://schemas.openxmlformats.org/officeDocument/2006/relationships/header" Target="header3.xml"/><Relationship Id="rId49" Type="http://schemas.openxmlformats.org/officeDocument/2006/relationships/image" Target="media/image33.jpeg"/><Relationship Id="rId48" Type="http://schemas.openxmlformats.org/officeDocument/2006/relationships/image" Target="media/image32.png"/><Relationship Id="rId47" Type="http://schemas.openxmlformats.org/officeDocument/2006/relationships/image" Target="media/image31.emf"/><Relationship Id="rId46" Type="http://schemas.openxmlformats.org/officeDocument/2006/relationships/oleObject" Target="embeddings/oleObject5.bin"/><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emf"/><Relationship Id="rId18" Type="http://schemas.openxmlformats.org/officeDocument/2006/relationships/oleObject" Target="embeddings/oleObject4.bin"/><Relationship Id="rId17" Type="http://schemas.openxmlformats.org/officeDocument/2006/relationships/image" Target="media/image3.emf"/><Relationship Id="rId16" Type="http://schemas.openxmlformats.org/officeDocument/2006/relationships/oleObject" Target="embeddings/oleObject3.bin"/><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0E982F-3311-41CE-BE33-E2C407F3B4E0}">
  <ds:schemaRefs/>
</ds:datastoreItem>
</file>

<file path=docProps/app.xml><?xml version="1.0" encoding="utf-8"?>
<Properties xmlns="http://schemas.openxmlformats.org/officeDocument/2006/extended-properties" xmlns:vt="http://schemas.openxmlformats.org/officeDocument/2006/docPropsVTypes">
  <Template>Normal</Template>
  <Pages>61</Pages>
  <Words>41919</Words>
  <Characters>47698</Characters>
  <Lines>397</Lines>
  <Paragraphs>112</Paragraphs>
  <TotalTime>261</TotalTime>
  <ScaleCrop>false</ScaleCrop>
  <LinksUpToDate>false</LinksUpToDate>
  <CharactersWithSpaces>48227</CharactersWithSpaces>
  <Application>WPS Office_11.1.0.9843_F1E327BC-269C-435d-A152-05C5408002CA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2024-03-29T07:10:00Z</dcterms:created>
  <dc:creator>111</dc:creator>
  <cp:lastModifiedBy>逢坂大河</cp:lastModifiedBy>
  <dcterms:modified xsi:type="dcterms:W3CDTF">2025-09-08T08:44:23Z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BF8846A2037B4F21AB6CF97311DE9898_13</vt:lpwstr>
  </property>
</Properties>
</file>