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b/>
          <w:i w:val="0"/>
          <w:color w:val="000000"/>
          <w:sz w:val="38"/>
          <w:lang w:eastAsia="zh-CN"/>
        </w:rPr>
      </w:pPr>
    </w:p>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b/>
          <w:i w:val="0"/>
          <w:color w:val="000000"/>
          <w:sz w:val="38"/>
          <w:lang w:eastAsia="zh-CN"/>
        </w:rPr>
      </w:pPr>
      <w:r>
        <w:rPr>
          <w:rFonts w:hint="eastAsia" w:ascii="仿宋" w:hAnsi="仿宋" w:eastAsia="仿宋" w:cs="仿宋"/>
          <w:b/>
          <w:i w:val="0"/>
          <w:color w:val="000000"/>
          <w:sz w:val="38"/>
          <w:lang w:eastAsia="zh-CN"/>
        </w:rPr>
        <w:t>嘉善沣德家具有限公司</w:t>
      </w:r>
    </w:p>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sz w:val="38"/>
        </w:rPr>
      </w:pPr>
      <w:r>
        <w:rPr>
          <w:rFonts w:hint="eastAsia" w:ascii="仿宋" w:hAnsi="仿宋" w:eastAsia="仿宋" w:cs="仿宋"/>
          <w:b/>
          <w:i w:val="0"/>
          <w:color w:val="000000"/>
          <w:sz w:val="38"/>
        </w:rPr>
        <w:t>202</w:t>
      </w:r>
      <w:r>
        <w:rPr>
          <w:rFonts w:hint="eastAsia" w:ascii="仿宋" w:hAnsi="仿宋" w:eastAsia="仿宋" w:cs="仿宋"/>
          <w:b/>
          <w:i w:val="0"/>
          <w:color w:val="000000"/>
          <w:sz w:val="38"/>
          <w:lang w:val="en-US" w:eastAsia="zh-CN"/>
        </w:rPr>
        <w:t>4</w:t>
      </w:r>
      <w:r>
        <w:rPr>
          <w:rFonts w:hint="eastAsia" w:ascii="仿宋" w:hAnsi="仿宋" w:eastAsia="仿宋" w:cs="仿宋"/>
          <w:b/>
          <w:i w:val="0"/>
          <w:color w:val="000000"/>
          <w:sz w:val="38"/>
        </w:rPr>
        <w:t xml:space="preserve"> 年度社会责任报告</w:t>
      </w: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r>
        <w:rPr>
          <w:rFonts w:hint="eastAsia" w:ascii="仿宋" w:hAnsi="仿宋" w:eastAsia="仿宋" w:cs="仿宋"/>
        </w:rPr>
        <mc:AlternateContent>
          <mc:Choice Requires="wps">
            <w:drawing>
              <wp:anchor distT="0" distB="0" distL="0" distR="0" simplePos="0" relativeHeight="251659264" behindDoc="0" locked="0" layoutInCell="1" allowOverlap="1">
                <wp:simplePos x="0" y="0"/>
                <wp:positionH relativeFrom="column">
                  <wp:posOffset>1509395</wp:posOffset>
                </wp:positionH>
                <wp:positionV relativeFrom="paragraph">
                  <wp:posOffset>789940</wp:posOffset>
                </wp:positionV>
                <wp:extent cx="2273300" cy="304800"/>
                <wp:effectExtent l="0" t="0" r="0" b="0"/>
                <wp:wrapTopAndBottom/>
                <wp:docPr id="7" name="文本框 7"/>
                <wp:cNvGraphicFramePr/>
                <a:graphic xmlns:a="http://schemas.openxmlformats.org/drawingml/2006/main">
                  <a:graphicData uri="http://schemas.microsoft.com/office/word/2010/wordprocessingShape">
                    <wps:wsp>
                      <wps:cNvSpPr txBox="1"/>
                      <wps:spPr>
                        <a:xfrm>
                          <a:off x="0" y="0"/>
                          <a:ext cx="2273300" cy="304800"/>
                        </a:xfrm>
                        <a:prstGeom prst="rect">
                          <a:avLst/>
                        </a:prstGeom>
                        <a:noFill/>
                        <a:ln w="6350">
                          <a:noFill/>
                        </a:ln>
                      </wps:spPr>
                      <wps:txbx>
                        <w:txbxContent>
                          <w:p>
                            <w:pPr>
                              <w:wordWrap/>
                              <w:autoSpaceDE w:val="0"/>
                              <w:autoSpaceDN w:val="0"/>
                              <w:spacing w:before="0" w:after="0" w:line="480" w:lineRule="atLeast"/>
                              <w:ind w:left="0" w:right="0"/>
                              <w:jc w:val="both"/>
                              <w:textAlignment w:val="auto"/>
                              <w:rPr>
                                <w:sz w:val="38"/>
                              </w:rPr>
                            </w:pPr>
                            <w:r>
                              <w:rPr>
                                <w:rFonts w:ascii="宋体" w:hAnsi="宋体" w:eastAsia="宋体" w:cs="宋体"/>
                                <w:b/>
                                <w:i w:val="0"/>
                                <w:color w:val="000000"/>
                                <w:sz w:val="38"/>
                              </w:rPr>
                              <w:t>202</w:t>
                            </w:r>
                            <w:r>
                              <w:rPr>
                                <w:rFonts w:hint="eastAsia" w:ascii="宋体" w:hAnsi="宋体" w:eastAsia="宋体" w:cs="宋体"/>
                                <w:b/>
                                <w:i w:val="0"/>
                                <w:color w:val="000000"/>
                                <w:sz w:val="38"/>
                                <w:lang w:val="en-US" w:eastAsia="zh-CN"/>
                              </w:rPr>
                              <w:t>5</w:t>
                            </w:r>
                            <w:r>
                              <w:rPr>
                                <w:rFonts w:ascii="宋体" w:hAnsi="宋体" w:eastAsia="宋体" w:cs="宋体"/>
                                <w:b/>
                                <w:i w:val="0"/>
                                <w:color w:val="000000"/>
                                <w:sz w:val="38"/>
                              </w:rPr>
                              <w:t xml:space="preserve">年 </w:t>
                            </w:r>
                            <w:r>
                              <w:rPr>
                                <w:rFonts w:hint="eastAsia" w:ascii="宋体" w:hAnsi="宋体" w:eastAsia="宋体" w:cs="宋体"/>
                                <w:b/>
                                <w:i w:val="0"/>
                                <w:color w:val="000000"/>
                                <w:sz w:val="38"/>
                                <w:lang w:val="en-US" w:eastAsia="zh-CN"/>
                              </w:rPr>
                              <w:t>1</w:t>
                            </w:r>
                            <w:r>
                              <w:rPr>
                                <w:rFonts w:ascii="宋体" w:hAnsi="宋体" w:eastAsia="宋体" w:cs="宋体"/>
                                <w:b/>
                                <w:i w:val="0"/>
                                <w:color w:val="000000"/>
                                <w:sz w:val="38"/>
                              </w:rPr>
                              <w:t xml:space="preserve"> 月 15 日</w:t>
                            </w:r>
                          </w:p>
                        </w:txbxContent>
                      </wps:txbx>
                      <wps:bodyPr vert="horz" wrap="square" lIns="0" tIns="0" rIns="0" bIns="0" anchor="t">
                        <a:spAutoFit/>
                      </wps:bodyPr>
                    </wps:wsp>
                  </a:graphicData>
                </a:graphic>
              </wp:anchor>
            </w:drawing>
          </mc:Choice>
          <mc:Fallback>
            <w:pict>
              <v:shape id="_x0000_s1026" o:spid="_x0000_s1026" o:spt="202" type="#_x0000_t202" style="position:absolute;left:0pt;margin-left:118.85pt;margin-top:62.2pt;height:24pt;width:179pt;mso-wrap-distance-bottom:0pt;mso-wrap-distance-top:0pt;z-index:251659264;mso-width-relative:page;mso-height-relative:page;" filled="f" stroked="f" coordsize="21600,21600" o:gfxdata="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sw/17NkAAAALAQAADwAAAAAAAAABACAAAAAiAAAAZHJzL2Rvd25y&#10;ZXYueG1sUEsBAhQAFAAAAAgAh07iQB8rRdfEAQAAYAMAAA4AAAAAAAAAAQAgAAAAKAEAAGRycy9l&#10;Mm9Eb2MueG1sUEsFBgAAAAAGAAYAWQEAAF4FAAAAAA==&#10;">
                <v:fill on="f" focussize="0,0"/>
                <v:stroke on="f" weight="0.5pt"/>
                <v:imagedata o:title=""/>
                <o:lock v:ext="edit" aspectratio="f"/>
                <v:textbox inset="0mm,0mm,0mm,0mm" style="mso-fit-shape-to-text:t;">
                  <w:txbxContent>
                    <w:p>
                      <w:pPr>
                        <w:wordWrap/>
                        <w:autoSpaceDE w:val="0"/>
                        <w:autoSpaceDN w:val="0"/>
                        <w:spacing w:before="0" w:after="0" w:line="480" w:lineRule="atLeast"/>
                        <w:ind w:left="0" w:right="0"/>
                        <w:jc w:val="both"/>
                        <w:textAlignment w:val="auto"/>
                        <w:rPr>
                          <w:sz w:val="38"/>
                        </w:rPr>
                      </w:pPr>
                      <w:r>
                        <w:rPr>
                          <w:rFonts w:ascii="宋体" w:hAnsi="宋体" w:eastAsia="宋体" w:cs="宋体"/>
                          <w:b/>
                          <w:i w:val="0"/>
                          <w:color w:val="000000"/>
                          <w:sz w:val="38"/>
                        </w:rPr>
                        <w:t>202</w:t>
                      </w:r>
                      <w:r>
                        <w:rPr>
                          <w:rFonts w:hint="eastAsia" w:ascii="宋体" w:hAnsi="宋体" w:eastAsia="宋体" w:cs="宋体"/>
                          <w:b/>
                          <w:i w:val="0"/>
                          <w:color w:val="000000"/>
                          <w:sz w:val="38"/>
                          <w:lang w:val="en-US" w:eastAsia="zh-CN"/>
                        </w:rPr>
                        <w:t>5</w:t>
                      </w:r>
                      <w:r>
                        <w:rPr>
                          <w:rFonts w:ascii="宋体" w:hAnsi="宋体" w:eastAsia="宋体" w:cs="宋体"/>
                          <w:b/>
                          <w:i w:val="0"/>
                          <w:color w:val="000000"/>
                          <w:sz w:val="38"/>
                        </w:rPr>
                        <w:t xml:space="preserve">年 </w:t>
                      </w:r>
                      <w:r>
                        <w:rPr>
                          <w:rFonts w:hint="eastAsia" w:ascii="宋体" w:hAnsi="宋体" w:eastAsia="宋体" w:cs="宋体"/>
                          <w:b/>
                          <w:i w:val="0"/>
                          <w:color w:val="000000"/>
                          <w:sz w:val="38"/>
                          <w:lang w:val="en-US" w:eastAsia="zh-CN"/>
                        </w:rPr>
                        <w:t>1</w:t>
                      </w:r>
                      <w:r>
                        <w:rPr>
                          <w:rFonts w:ascii="宋体" w:hAnsi="宋体" w:eastAsia="宋体" w:cs="宋体"/>
                          <w:b/>
                          <w:i w:val="0"/>
                          <w:color w:val="000000"/>
                          <w:sz w:val="38"/>
                        </w:rPr>
                        <w:t xml:space="preserve"> 月 15 日</w:t>
                      </w:r>
                    </w:p>
                  </w:txbxContent>
                </v:textbox>
                <w10:wrap type="topAndBottom"/>
              </v:shape>
            </w:pict>
          </mc:Fallback>
        </mc:AlternateContent>
      </w:r>
      <w:r>
        <w:rPr>
          <w:rFonts w:hint="eastAsia" w:ascii="仿宋" w:hAnsi="仿宋" w:eastAsia="仿宋" w:cs="仿宋"/>
        </w:rPr>
        <mc:AlternateContent>
          <mc:Choice Requires="wps">
            <w:drawing>
              <wp:anchor distT="0" distB="0" distL="0" distR="0" simplePos="0" relativeHeight="251659264" behindDoc="0" locked="0" layoutInCell="1" allowOverlap="1">
                <wp:simplePos x="0" y="0"/>
                <wp:positionH relativeFrom="column">
                  <wp:posOffset>2095500</wp:posOffset>
                </wp:positionH>
                <wp:positionV relativeFrom="paragraph">
                  <wp:posOffset>0</wp:posOffset>
                </wp:positionV>
                <wp:extent cx="2273300" cy="723900"/>
                <wp:effectExtent l="0" t="0" r="0" b="0"/>
                <wp:wrapTopAndBottom/>
                <wp:docPr id="1" name="文本框 1"/>
                <wp:cNvGraphicFramePr/>
                <a:graphic xmlns:a="http://schemas.openxmlformats.org/drawingml/2006/main">
                  <a:graphicData uri="http://schemas.microsoft.com/office/word/2010/wordprocessingShape">
                    <wps:wsp>
                      <wps:cNvSpPr txBox="1"/>
                      <wps:spPr>
                        <a:xfrm>
                          <a:off x="0" y="0"/>
                          <a:ext cx="2273300" cy="723900"/>
                        </a:xfrm>
                        <a:prstGeom prst="rect">
                          <a:avLst/>
                        </a:prstGeom>
                        <a:noFill/>
                        <a:ln w="6350">
                          <a:noFill/>
                        </a:ln>
                      </wps:spPr>
                      <wps:bodyPr vert="horz" wrap="square" lIns="0" tIns="0" rIns="0" bIns="0" anchor="t">
                        <a:noAutofit/>
                      </wps:bodyPr>
                    </wps:wsp>
                  </a:graphicData>
                </a:graphic>
              </wp:anchor>
            </w:drawing>
          </mc:Choice>
          <mc:Fallback>
            <w:pict>
              <v:shape id="_x0000_s1026" o:spid="_x0000_s1026" o:spt="202" type="#_x0000_t202" style="position:absolute;left:0pt;margin-left:165pt;margin-top:0pt;height:57pt;width:179pt;mso-wrap-distance-bottom:0pt;mso-wrap-distance-top:0pt;z-index:251659264;mso-width-relative:page;mso-height-relative:page;" filled="f" stroked="f" coordsize="21600,21600" o:gfxdata="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sGPX31gAAAAgBAAAPAAAAAAAAAAEAIAAAACIAAABkcnMvZG93bnJldi54bWxQSwEC&#10;FAAUAAAACACHTuJAm8FcgL0BAABVAwAADgAAAAAAAAABACAAAAAlAQAAZHJzL2Uyb0RvYy54bWxQ&#10;SwUGAAAAAAYABgBZAQAAVAUAAAAA&#10;">
                <v:fill on="f" focussize="0,0"/>
                <v:stroke on="f" weight="0.5pt"/>
                <v:imagedata o:title=""/>
                <o:lock v:ext="edit" aspectratio="f"/>
                <v:textbox inset="0mm,0mm,0mm,0mm"/>
                <w10:wrap type="topAndBottom"/>
              </v:shape>
            </w:pict>
          </mc:Fallback>
        </mc:AlternateContent>
      </w:r>
      <w:r>
        <w:rPr>
          <w:rFonts w:hint="eastAsia" w:ascii="仿宋" w:hAnsi="仿宋" w:eastAsia="仿宋" w:cs="仿宋"/>
        </w:rPr>
        <w:br w:type="page"/>
      </w:r>
    </w:p>
    <w:p>
      <w:pPr>
        <w:wordWrap/>
        <w:autoSpaceDE w:val="0"/>
        <w:autoSpaceDN w:val="0"/>
        <w:spacing w:before="760" w:after="0" w:line="360" w:lineRule="auto"/>
        <w:ind w:left="0" w:leftChars="0" w:right="0" w:firstLine="0" w:firstLineChars="0"/>
        <w:jc w:val="center"/>
        <w:textAlignment w:val="auto"/>
        <w:rPr>
          <w:rFonts w:hint="eastAsia" w:ascii="仿宋" w:hAnsi="仿宋" w:eastAsia="仿宋" w:cs="仿宋"/>
          <w:b/>
          <w:bCs/>
          <w:sz w:val="28"/>
        </w:rPr>
      </w:pPr>
      <w:r>
        <w:rPr>
          <w:rFonts w:hint="eastAsia" w:ascii="仿宋" w:hAnsi="仿宋" w:eastAsia="仿宋" w:cs="仿宋"/>
          <w:b/>
          <w:bCs/>
          <w:i w:val="0"/>
          <w:color w:val="000000"/>
          <w:sz w:val="28"/>
        </w:rPr>
        <w:t>前言</w:t>
      </w:r>
    </w:p>
    <w:p>
      <w:pPr>
        <w:wordWrap/>
        <w:autoSpaceDE w:val="0"/>
        <w:autoSpaceDN w:val="0"/>
        <w:spacing w:before="6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报告简介</w:t>
      </w:r>
    </w:p>
    <w:p>
      <w:pPr>
        <w:wordWrap/>
        <w:autoSpaceDE w:val="0"/>
        <w:autoSpaceDN w:val="0"/>
        <w:spacing w:before="0" w:after="0" w:line="360" w:lineRule="auto"/>
        <w:ind w:left="0" w:leftChars="0" w:right="8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报告回顾了公司202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年在社会责任方面所做的各项工作，披露了公司履行经济、环境和社会责任方面的理念、践行和成绩。</w:t>
      </w:r>
    </w:p>
    <w:p>
      <w:pPr>
        <w:wordWrap/>
        <w:autoSpaceDE w:val="0"/>
        <w:autoSpaceDN w:val="0"/>
        <w:spacing w:before="18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时间范围</w:t>
      </w:r>
    </w:p>
    <w:p>
      <w:pPr>
        <w:tabs>
          <w:tab w:val="left" w:pos="7350"/>
        </w:tabs>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报告中的202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年是指202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年1月1日-202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年12月31日, 部分内容适当追溯以往年份。</w:t>
      </w:r>
    </w:p>
    <w:p>
      <w:pPr>
        <w:wordWrap/>
        <w:autoSpaceDE w:val="0"/>
        <w:autoSpaceDN w:val="0"/>
        <w:spacing w:before="16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编制依据</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本报告撰写参照中国国家标准GB/T36001-2015《社会责任报告编写指南》、中国社科院《中国企业社会责任报告编写指南(CASS-CSR3.0) 》、ISO26000:2010《社会责任国际标准》、全球报告倡议组织(GRI)《可持续发展报告指南》。</w:t>
      </w:r>
    </w:p>
    <w:p>
      <w:pPr>
        <w:wordWrap/>
        <w:autoSpaceDE w:val="0"/>
        <w:autoSpaceDN w:val="0"/>
        <w:spacing w:before="20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称谓说明</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为方便表述和阅读，在报告的表述中分别使用“</w:t>
      </w:r>
      <w:r>
        <w:rPr>
          <w:rFonts w:hint="eastAsia" w:ascii="仿宋" w:hAnsi="仿宋" w:eastAsia="仿宋" w:cs="仿宋"/>
          <w:b w:val="0"/>
          <w:i w:val="0"/>
          <w:color w:val="000000"/>
          <w:sz w:val="24"/>
          <w:szCs w:val="24"/>
          <w:lang w:val="en-US" w:eastAsia="zh-CN"/>
        </w:rPr>
        <w:t>沣德</w:t>
      </w:r>
      <w:r>
        <w:rPr>
          <w:rFonts w:hint="eastAsia" w:ascii="仿宋" w:hAnsi="仿宋" w:eastAsia="仿宋" w:cs="仿宋"/>
          <w:b w:val="0"/>
          <w:i w:val="0"/>
          <w:color w:val="000000"/>
          <w:sz w:val="24"/>
          <w:szCs w:val="24"/>
        </w:rPr>
        <w:t>”、“公司”、“我们”等称谓。</w:t>
      </w:r>
    </w:p>
    <w:p>
      <w:pPr>
        <w:wordWrap/>
        <w:autoSpaceDE w:val="0"/>
        <w:autoSpaceDN w:val="0"/>
        <w:spacing w:before="1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数据来源</w:t>
      </w:r>
    </w:p>
    <w:p>
      <w:pPr>
        <w:tabs>
          <w:tab w:val="left" w:pos="8200"/>
        </w:tabs>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年报及其他相关统计报告、正式文件，其他数据来源公司内部文件和信息统计系统数据。</w:t>
      </w:r>
    </w:p>
    <w:p>
      <w:pPr>
        <w:wordWrap/>
        <w:autoSpaceDE w:val="0"/>
        <w:autoSpaceDN w:val="0"/>
        <w:spacing w:before="1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可靠性保证</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本年度社会责任报告的信息披露是真实、可靠和及时的，符合</w:t>
      </w:r>
      <w:r>
        <w:rPr>
          <w:rFonts w:hint="eastAsia" w:ascii="仿宋" w:hAnsi="仿宋" w:eastAsia="仿宋" w:cs="仿宋"/>
          <w:b w:val="0"/>
          <w:i w:val="0"/>
          <w:color w:val="000000"/>
          <w:sz w:val="24"/>
          <w:szCs w:val="24"/>
          <w:lang w:eastAsia="zh-CN"/>
        </w:rPr>
        <w:t>嘉善沣德家具有限公司</w:t>
      </w:r>
      <w:r>
        <w:rPr>
          <w:rFonts w:hint="eastAsia" w:ascii="仿宋" w:hAnsi="仿宋" w:eastAsia="仿宋" w:cs="仿宋"/>
          <w:b w:val="0"/>
          <w:i w:val="0"/>
          <w:color w:val="000000"/>
          <w:sz w:val="24"/>
          <w:szCs w:val="24"/>
        </w:rPr>
        <w:t>可持续发展战略，是对利益相关方关注重点议题的积极回应，也是对社会责任绩效的客观反映。</w:t>
      </w:r>
    </w:p>
    <w:p>
      <w:pPr>
        <w:wordWrap/>
        <w:autoSpaceDE w:val="0"/>
        <w:autoSpaceDN w:val="0"/>
        <w:spacing w:before="18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报告获取</w:t>
      </w:r>
    </w:p>
    <w:p>
      <w:pPr>
        <w:wordWrap/>
        <w:autoSpaceDE w:val="0"/>
        <w:autoSpaceDN w:val="0"/>
        <w:spacing w:before="0" w:after="0" w:line="360" w:lineRule="auto"/>
        <w:ind w:left="0" w:leftChars="0" w:right="980" w:firstLine="480" w:firstLineChars="200"/>
        <w:jc w:val="both"/>
        <w:textAlignment w:val="auto"/>
        <w:rPr>
          <w:rFonts w:hint="eastAsia" w:ascii="仿宋" w:hAnsi="仿宋" w:eastAsia="仿宋" w:cs="仿宋"/>
          <w:b w:val="0"/>
          <w:i w:val="0"/>
          <w:color w:val="000000"/>
          <w:sz w:val="24"/>
          <w:szCs w:val="24"/>
        </w:rPr>
        <w:sectPr>
          <w:pgSz w:w="11860" w:h="16800"/>
          <w:pgMar w:top="1440" w:right="1800" w:bottom="1440" w:left="1800" w:header="720" w:footer="720" w:gutter="0"/>
          <w:cols w:space="720" w:num="1"/>
        </w:sectPr>
      </w:pPr>
      <w:r>
        <w:rPr>
          <w:rFonts w:hint="eastAsia" w:ascii="仿宋" w:hAnsi="仿宋" w:eastAsia="仿宋" w:cs="仿宋"/>
          <w:b w:val="0"/>
          <w:i w:val="0"/>
          <w:color w:val="000000"/>
          <w:sz w:val="24"/>
          <w:szCs w:val="24"/>
        </w:rPr>
        <w:t>本报告为中文，以纸质版形式提供。</w:t>
      </w:r>
    </w:p>
    <w:p>
      <w:pPr>
        <w:keepNext w:val="0"/>
        <w:keepLines w:val="0"/>
        <w:pageBreakBefore w:val="0"/>
        <w:widowControl w:val="0"/>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嘉善沣德家具有限公司</w:t>
      </w:r>
    </w:p>
    <w:p>
      <w:pPr>
        <w:keepNext w:val="0"/>
        <w:keepLines w:val="0"/>
        <w:pageBreakBefore w:val="0"/>
        <w:widowControl w:val="0"/>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202</w:t>
      </w:r>
      <w:r>
        <w:rPr>
          <w:rFonts w:hint="eastAsia" w:ascii="仿宋" w:hAnsi="仿宋" w:eastAsia="仿宋" w:cs="仿宋"/>
          <w:b/>
          <w:bCs/>
          <w:i w:val="0"/>
          <w:color w:val="000000"/>
          <w:sz w:val="30"/>
          <w:szCs w:val="30"/>
          <w:lang w:val="en-US" w:eastAsia="zh-CN"/>
        </w:rPr>
        <w:t>4</w:t>
      </w:r>
      <w:r>
        <w:rPr>
          <w:rFonts w:hint="eastAsia" w:ascii="仿宋" w:hAnsi="仿宋" w:eastAsia="仿宋" w:cs="仿宋"/>
          <w:b/>
          <w:bCs/>
          <w:i w:val="0"/>
          <w:color w:val="000000"/>
          <w:sz w:val="30"/>
          <w:szCs w:val="30"/>
        </w:rPr>
        <w:t>年度社会责任报告</w:t>
      </w:r>
    </w:p>
    <w:p>
      <w:pPr>
        <w:keepNext w:val="0"/>
        <w:keepLines w:val="0"/>
        <w:pageBreakBefore w:val="0"/>
        <w:widowControl w:val="0"/>
        <w:tabs>
          <w:tab w:val="left" w:pos="7350"/>
          <w:tab w:val="left" w:pos="820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本报告编制以202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度为重点，阐述公司以“团结、务实、开拓、创新”为企业精神，积极履行企业社会责任，为社会发展做出不懈的努力。报告通过真实、客观地反映公司在产品质量、环境保护、循环经济、清洁生产、“三标”建设、合作伙伴以及社会公益等方面所做的努力，从而向社会展现公司在追求经济效益的同时，诚信对待和保护其他利益相关者，尤其是员工、消费者的合法权益，努力推进环境保护与可持续发展、资源节约与循环利用，积极参与、捐助社会公益及慈善事业，以自身发展影响和带动地方经济的振兴，促进公司与社区、社会、自然的协调、和谐发展的成果。希望本报告能起到与社会各界沟通、交流的桥梁作用，加强社会各界对本公司的认知。同时，公司也虚心接受社会的广泛监督，以期做得更好。</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2"/>
          <w:szCs w:val="32"/>
        </w:rPr>
      </w:pPr>
      <w:r>
        <w:rPr>
          <w:rFonts w:hint="eastAsia" w:ascii="仿宋" w:hAnsi="仿宋" w:eastAsia="仿宋" w:cs="仿宋"/>
          <w:b/>
          <w:bCs/>
          <w:i w:val="0"/>
          <w:color w:val="000000"/>
          <w:sz w:val="32"/>
          <w:szCs w:val="32"/>
        </w:rPr>
        <w:t>综述</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创新无止境，</w:t>
      </w:r>
      <w:r>
        <w:rPr>
          <w:rFonts w:hint="eastAsia" w:ascii="仿宋" w:hAnsi="仿宋" w:eastAsia="仿宋" w:cs="仿宋"/>
          <w:b w:val="0"/>
          <w:i w:val="0"/>
          <w:color w:val="000000"/>
          <w:sz w:val="24"/>
          <w:szCs w:val="24"/>
          <w:lang w:val="en-US" w:eastAsia="zh-CN"/>
        </w:rPr>
        <w:t>我们</w:t>
      </w:r>
      <w:r>
        <w:rPr>
          <w:rFonts w:hint="eastAsia" w:ascii="仿宋" w:hAnsi="仿宋" w:eastAsia="仿宋" w:cs="仿宋"/>
          <w:b w:val="0"/>
          <w:i w:val="0"/>
          <w:color w:val="000000"/>
          <w:sz w:val="24"/>
          <w:szCs w:val="24"/>
        </w:rPr>
        <w:t>将把追求优质的行业服务作为一项事业，并将在嘉兴乃至全国开创行业服务新模式，在企业服务的领域中开创辉煌。</w:t>
      </w:r>
      <w:r>
        <w:rPr>
          <w:rFonts w:hint="eastAsia" w:ascii="仿宋" w:hAnsi="仿宋" w:eastAsia="仿宋" w:cs="仿宋"/>
          <w:b w:val="0"/>
          <w:i w:val="0"/>
          <w:color w:val="000000"/>
          <w:sz w:val="24"/>
          <w:szCs w:val="24"/>
          <w:lang w:val="en-US" w:eastAsia="zh-CN"/>
        </w:rPr>
        <w:t>我们</w:t>
      </w:r>
      <w:r>
        <w:rPr>
          <w:rFonts w:hint="eastAsia" w:ascii="仿宋" w:hAnsi="仿宋" w:eastAsia="仿宋" w:cs="仿宋"/>
          <w:b w:val="0"/>
          <w:i w:val="0"/>
          <w:color w:val="000000"/>
          <w:sz w:val="24"/>
          <w:szCs w:val="24"/>
        </w:rPr>
        <w:t>人任重而道远，期待与各企管精英携手，共谱和谐社会！公司致力于质量第一、顾客至上、科学管理、安全生产的方针，以成就客户、赋能未来的宗旨，为每一位用户做好服务。</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经营方针：服务人才、服务企业、服务社会</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经营理念：以顾客需求为主导，通过提供高品质的服务，为客户创造应有的价值</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企业远景：为顾客创造真实持久的价值，为员工创造合适长远的发展机会，成为</w:t>
      </w:r>
      <w:r>
        <w:rPr>
          <w:rFonts w:hint="eastAsia" w:ascii="仿宋" w:hAnsi="仿宋" w:eastAsia="仿宋" w:cs="仿宋"/>
          <w:b w:val="0"/>
          <w:i w:val="0"/>
          <w:color w:val="000000"/>
          <w:sz w:val="24"/>
          <w:szCs w:val="24"/>
          <w:lang w:val="en-US" w:eastAsia="zh-CN"/>
        </w:rPr>
        <w:t>行业</w:t>
      </w:r>
      <w:bookmarkStart w:id="0" w:name="_GoBack"/>
      <w:bookmarkEnd w:id="0"/>
      <w:r>
        <w:rPr>
          <w:rFonts w:hint="eastAsia" w:ascii="仿宋" w:hAnsi="仿宋" w:eastAsia="仿宋" w:cs="仿宋"/>
          <w:b w:val="0"/>
          <w:i w:val="0"/>
          <w:color w:val="000000"/>
          <w:sz w:val="24"/>
          <w:szCs w:val="24"/>
        </w:rPr>
        <w:t>中的领先者。</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为了更好地履行社会责任，公司结合实际情况不断修订完善内部控制制度，做到有章可循、有章必依。强化保障员工、客户、消费者、供应商等利益相关方的责任，形成了一套系统的工作体系，建立起符合现代企业要求的运行机制，将履行社会责任纳入到公司总体发展规划之中，切实履行好企业应承担的社会责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i w:val="0"/>
          <w:color w:val="000000"/>
          <w:sz w:val="30"/>
          <w:szCs w:val="30"/>
        </w:rPr>
      </w:pP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第一章 职工权益保护</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员工是企业最重要的财富及利益相关方，是企业可持续发展的重要因素。因此，努力创造员工与企业之间的稳定和谐关系是公司非常重视的工作内容。公司大力实施“人才兴企”战略，以人为本、关爱员工，把广纳人才并最大限度地发挥其才能、实现员工的全面发展，作为公司永恒的追求，致力于公司价值最大化与个人价值最大化的和谐统一，实现企业与员工的“双赢”。公司尊重员工的知情权、参与权、选择权、监督权，注重尊重员工，理解员工，发展依靠员工，发展成果由员工共享，以建立和健全现代企业制度为主线，注重强化企业的内外社会责任，提高员工的幸福度和满意度。</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1、公司严格遵守新《劳动法》并按照有关法律法规的规定，与所有员工签订《劳动合同》，合同签订率达到 100%，为全部符合条件的员工办理医疗、养老、失业、工伤、生育等社会保险，参保率和按规定缴费率达到 100%，确保了职工的合法权益，为员工提供健康、安全的生产和生活环境，切实维护员工的切身和合法利益。企业充分考虑外地职工的切身困难，为外地员工提供居住，以降低他们在城市工作的成本；企业每年主动与附近学校联系为外来员工子弟解决入学问题。</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实行岗位绩效薪酬工资制度，建立健全绩效考核制度。以岗定薪、按劳分配、实现就业机会平等和同工同酬，对性别、年龄、疾病、种族、宗教信仰等没有任何歧视政策。同时不盲目追求表面上的绝对平等，而是根据行业工作性质及男女心理、生理的差异，合理分配工作岗位，使其发挥各自优势，在工作中更好地发挥积极作用。收入分配不但向苦、脏、累、险及一线员工倾斜，更要向知识密集、技术高、责任重的重要岗位和关键岗位倾斜。此外，公司坚持按国家有关规定给予妊娠期和哺乳期女职工享受特别的福利制度，更好地保护了女员工的权益。</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公司注重对员工安全生产和劳动保护，并严格按照职业健康安全管理体系要求开展生产经营活动，对生产过程中的危险源进行全方位的识别和评价，对重大危险源制定相关的制度和相应的控制措施及应急预案并定期地进行演练，同时公司注重对员工安全教育与培训，针对不同岗位每年定期为员工配备必要的劳动防护用品及保护设施，不定期地对公司生产安全进行全面排查，并组织员工参加开展安全生产知识竞赛和消防安全演练，有效提高员工的安全生产意识和自我保护能力。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年度未发生重大职工伤亡事故。</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员工身体健康也是公司的关切点，所有新入厂员工必须体检合格，每年组织医护人员来公司为全体员工进行常规体检，发现问题及时复检、就诊，以确保员工的身心健康。针对员工的身体状况给予调整合适的工作岗位；夏天做好防暑降温措施，免费发放防暑药品； 帮扶困难员工等，处处给员工以家的温馨，体现公司对员工的关心和人性化管理。公司领导一直注重员工的健康饮食问题，为此公司制定相关管理办法和操作规章，特别是食堂所采购的食品原料应有卫生检验合格证，原料必须符合国家食品卫生标准，有盒装的，必须查看日期、厂名、保质期、质量安全标志等，做到进货单据齐全，人员持证上岗，以保护员工的身心健康。</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公司非常重视与员工的沟通和交流，不定期召开员工座谈会，设立流动建议箱，组织员工满意度调查、部门经理与员工进行一对一访谈等多种方式，倾听员工心声。从员工满意度调查中发现，95.50%的员工对公司的现状表示满意。</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6、公司积极开展各项文化娱乐活动，丰富员工的业余文化生活。建立职工书屋、文体活动室、篮球场等文体设施，不定期举办拔河、篮球比赛等文体活动，陶冶员工情操，增强员工的团队合作意识和集体荣誉感。每年举行迎新春联欢会、迎国庆联欢会等，在自娱自乐的同时提升员工的士气，增强员工的凝聚力和向心力。</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7、公司十分注重员工培训与职业规划，积极开展职工培训，组织员工参加专业知识和专题封闭集训，制度鼓励和支持职工参加业余进修培训、提升自身素质和综合能力，并为员工发展提供更多的机会和广阔的舞台。</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8、公司视员工为最主要的资源，以“让更多人过上好日子”作为公司追求的目标，听取员工心声，明确员工年收入目标，开展薪酬普调，为招聘员工、稳定员工、减少流动成本起到了良好的作用。与此同时，公司继续做好流动性月度、季度、年度分析，发至各有关领导，让其充分了解员工流动情况，为改进员工管理、提升职工稳定性也起到了积极作用。</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9、公司重视职工权利的保护，依据《公司法》和公司章程等的规定，建立职工监事选任制度，确保职工在公司治理中享有充分的权利；支持工会依法开展工作，成立了职工代表大会，对工资、福利、劳动安全卫生、社会保险等涉及职工切身利益的事项，通过职工代表大会等形式听取职工的意见，关心和重视职工的合理需求； 设立员工合理化建议箱，听取员工的意见和建议，公司与工会建立集体合同、工资协商机制等等，通过各种方式和途径，构建和谐稳定的劳资关系。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第二章 供应商、客户和消费者权益保护</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lang w:eastAsia="zh-CN"/>
        </w:rPr>
        <w:t>嘉善沣德家具有限公司</w:t>
      </w:r>
      <w:r>
        <w:rPr>
          <w:rFonts w:hint="eastAsia" w:ascii="仿宋" w:hAnsi="仿宋" w:eastAsia="仿宋" w:cs="仿宋"/>
          <w:b w:val="0"/>
          <w:i w:val="0"/>
          <w:color w:val="000000"/>
          <w:sz w:val="24"/>
          <w:szCs w:val="24"/>
        </w:rPr>
        <w:t>秉承“诚、信、义”的精神，以树立企业品牌形象为支撑，通过服务内容的拓展和延伸，增加品牌的内涵和外延，致力于实现与客户及供应商的共赢。定期开展供应商大会，一方面公司积极地向上延展自己的产业链条，与供应商建立共生共荣的战略合作伙伴关系； 一方面密切关注下游行业的市场动态，及时了解下游产业目前及未来面临的困难，通过充分沟通，与客户达成彼此谅解，签订具有市场弹性的合同条款，实现双赢。</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作为生产制造企业，公司深刻理解上下游之间共存共荣、共同发展的鱼水共生关系，为此，公司将诚实守信作为企业发展之基，与供应商和客户建立共生共荣的战略合作伙伴关系，充分尊重并保护供应商和客户的合法权益，从不侵犯供应商及客户的商标权、专利权等知识产权，严格保护供应商及客户的秘密信息和专有信息，与之保持长期良好的合作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2、公司注重供应链一体化建设，不断完善采购流程与机制，建立公平、公正的评估体系，为供应商创造良好的竞争环境； 推行公开招标和阳光采购，杜绝暗箱操作、商业贿赂和不正当交易情形。公司严格遵守并履行合同约定，友好协商解决纷争，以保证供应商的合理合法权益。在加强与供应商的业务合作的同时，积极开展技术经验交流，协助供应商解决技术难题、提高产品品质，帮助供应商成长。</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公司与长期合作用户和供应商建立合作伙伴关系。坚持与合作伙伴共享技术、人才、资金、信息、管理等资源； 定期召开供需双方会议； 帮助合作伙伴改进作业中的浪费，分享节约利润； 激发、鼓励和承认合作伙伴的改进及其成果，坚持实行共赢共利共享发展成果的战略伙伴关系。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4、公司相继通过了 ISO9001 质量管理体系认证，通过执行严格的质量标准，提升产品品质和服务质量，为国内外客户提供了高品质的产品和优质的服务。公司用“重质量视生命，保合格创优质，找问题求更好，利顾客树品牌”的理念教育营销人员，积极打造“主动化、专业化、高效化”的服务标准，通过实行发货承诺制度，严格按照客户要求，做好产品生产、包装、存储、运输等所有环节的措施，确保客户权益不受损害。</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为了保持长期满足各类客户需求，需要通过对市场调研分析，细分产品市场，摸清顾客的偏好和需求愿望，为不同行业的提供最匹配、最优质的产品，这是公司常抓不懈的工作，同时也是提高客户满意度和忠诚度的重要工作和任务。为此，公司确立了现在式服务宗旨“倾我所有、尽我所能、竭诚用户、诚信天下”和未来式服务宗旨、服务理念，形成引领行业顾客服务潮流的“竭诚服务”模式。</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第三章</w:t>
      </w:r>
      <w:r>
        <w:rPr>
          <w:rFonts w:hint="eastAsia" w:ascii="仿宋" w:hAnsi="仿宋" w:eastAsia="仿宋" w:cs="仿宋"/>
          <w:b/>
          <w:bCs/>
          <w:sz w:val="30"/>
          <w:szCs w:val="30"/>
        </w:rPr>
        <w:t xml:space="preserve">     </w:t>
      </w:r>
      <w:r>
        <w:rPr>
          <w:rFonts w:hint="eastAsia" w:ascii="仿宋" w:hAnsi="仿宋" w:eastAsia="仿宋" w:cs="仿宋"/>
          <w:b/>
          <w:bCs/>
          <w:i w:val="0"/>
          <w:color w:val="000000"/>
          <w:sz w:val="30"/>
          <w:szCs w:val="30"/>
        </w:rPr>
        <w:t>环境保护和可持续发展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lang w:eastAsia="zh-CN"/>
        </w:rPr>
        <w:t>嘉善沣德家具有限公司</w:t>
      </w:r>
      <w:r>
        <w:rPr>
          <w:rFonts w:hint="eastAsia" w:ascii="仿宋" w:hAnsi="仿宋" w:eastAsia="仿宋" w:cs="仿宋"/>
          <w:b w:val="0"/>
          <w:i w:val="0"/>
          <w:color w:val="000000"/>
          <w:sz w:val="24"/>
          <w:szCs w:val="24"/>
        </w:rPr>
        <w:t>将环境保护作为企业可持续发展战略的重要内容，注重履行企业环境保护的职责，践行环境友好及能源节约型发展，并通过以下措施有效实现环境保护与可持续发展：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1、公司对投资项目实行环境保护一票否决制，所有投资项目必须符合环保要求，项目投资必须充分考虑环保设计和环保投入，项目实施必须“三同时”，项目完工必须通过环保验收。</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2、公司严格按照国家环保法律法规和标准开展生产经营活动，建立健全内部环境安全管理机构和环境管理制度，依法登记排污许可信息，202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年未发生重大污染事故和环境违法行为，所有环保设施运行正常。</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3、公司严格按照 ISO14001 环境管理体系要求开展生产经营活动，利用宣传橱窗、车间宣传栏、标识、宣传标语等方式，大力开展节能宣传，引导全公司每一个员工都自觉地提高节约能源意识，杜绝浪费、提高效益的观念已经融入到企业文化中。对危险废物，公司委托有资质的单位进行处置，有效控制了废弃物对环境造成的影响。公司自成立以来未发生环境污染事故和周边群众投诉上访的案件。</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以能源、资源的高效利用和循环利用为核心，以“减量化、再利用、资源化”为原则，以低消耗、低排放、高效率为目标，采取积极有效的节耗降本措施，在增产中降成本，在创新中降消耗，如积极推行改进生产工艺和定耗生产，不断提高机械设备利用率和降低电能消耗。经过上下的共同努力，节能降耗达到公司制定的目标要求。</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公司加大投入力度，实施新工艺，新技术，既有利于提高产品质量，从环境保护的角度出发，我公司采用废气处理设施进行处理，使废气达标排放。引进国内先进的生产设备，确保产品品质满足国内外客户要求，在确保产品品质大幅提高的同时，更加注重员工的生产环境和劳动强度，提高生产效率来实现节能降耗。</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第四章 公共关系和社会公益事业</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企业发展源于社会，回报社会是企业应尽的责任。</w:t>
      </w:r>
      <w:r>
        <w:rPr>
          <w:rFonts w:hint="eastAsia" w:ascii="仿宋" w:hAnsi="仿宋" w:eastAsia="仿宋" w:cs="仿宋"/>
          <w:b w:val="0"/>
          <w:i w:val="0"/>
          <w:color w:val="000000"/>
          <w:sz w:val="24"/>
          <w:szCs w:val="24"/>
          <w:lang w:eastAsia="zh-CN"/>
        </w:rPr>
        <w:t>嘉善沣德家具有限公司</w:t>
      </w:r>
      <w:r>
        <w:rPr>
          <w:rFonts w:hint="eastAsia" w:ascii="仿宋" w:hAnsi="仿宋" w:eastAsia="仿宋" w:cs="仿宋"/>
          <w:b w:val="0"/>
          <w:i w:val="0"/>
          <w:color w:val="000000"/>
          <w:sz w:val="24"/>
          <w:szCs w:val="24"/>
        </w:rPr>
        <w:t>注重企业的社会价值体现，把为社会创造繁荣作为所应承担社会责任的一种承诺，以自身发展影响和带动地方经济振兴。</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1、公司与社会各界保持密切合作，积极承担社会责任，参与扶贫开发、资助下岗职工再就业等社会公益事业，开展和谐社区建设等社区服务及活动。</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2、公司除了积极参与社会公益事业外，还鼓励全体员工主动回馈社会，参与各种形式的捐资、义工、便民活动，以支持各项慈善事业。同时，公司多次组织员工进行无偿献血活动，支持社会和谐发展。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3、积极、主动加强与政府主管部门、行业协会、监管机关的沟通与联系，对相关部门根据法律、法规要求提出的监督和检查，都予以积极配合、协助，尽到自身的责任与义务。</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积极支持社会公益事业，确定重点支持的公益领域并积极参与，高层领导及员工为此作出了贡献。公司在努力开拓市场，谋求实现企业战略目标的同时，也重视履行自己的社会责任，热心为社会公益事业服务。公司积极参与“送温暖献爱心”、结对帮困、扶贫开发、资助下岗职工再就业、慰问敬老院等社会公益事业，开展“学雷锋便民活动”、和谐社区建设等社区服务及活动，通过政府部门、行业组织，积极向社会、社区捐款。</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第五章 社会责任履行状况存在问题及整改计划</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尽管公司在环保、公益事业、职工保护等诸多承担社会责任方面取得一定成绩，但社会责任履行状况仍存有部分不足，主要体现在对员工教育、社区建设等社会公益事业方面的支持仍有进一步增加的空间。为此，公司将在今后的经营管理中，积极履行社会责任，创建和谐企业； 在力所能及的范围内，增加社会公益的投入，积极参加与国内外对口支援当地的教育、文化、社区建设、扶贫帮困等社会公益活动，促进公司和区域经济的和谐发展，为和谐社会建设作出应有的贡献。</w:t>
      </w:r>
    </w:p>
    <w:sectPr>
      <w:pgSz w:w="11860" w:h="1680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nforcement="0"/>
  <w:noPunctuationKerning w:val="1"/>
  <w:compat>
    <w:ulTrailSpace/>
    <w:useFELayout/>
    <w:compatSetting w:name="compatibilityMode" w:uri="http://schemas.microsoft.com/office/word" w:val="15"/>
  </w:compat>
  <w:docVars>
    <w:docVar w:name="commondata" w:val="eyJoZGlkIjoiOTZhZTBkZGIyNTU1NzE2YWE5ZmVhYmUyOTUzNGE3NjEifQ=="/>
  </w:docVars>
  <w:rsids>
    <w:rsidRoot w:val="00000000"/>
    <w:rsid w:val="11C7359A"/>
    <w:rsid w:val="1CC70A87"/>
    <w:rsid w:val="23EC5253"/>
    <w:rsid w:val="39D83A3B"/>
    <w:rsid w:val="3ECB7835"/>
    <w:rsid w:val="51323660"/>
    <w:rsid w:val="52034F54"/>
    <w:rsid w:val="5B2D47AE"/>
    <w:rsid w:val="5FF03B0D"/>
    <w:rsid w:val="619A1F3B"/>
    <w:rsid w:val="68F232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5623</Words>
  <Characters>5725</Characters>
  <TotalTime>5</TotalTime>
  <ScaleCrop>false</ScaleCrop>
  <LinksUpToDate>false</LinksUpToDate>
  <CharactersWithSpaces>5751</CharactersWithSpaces>
  <Application>WPS Office_11.1.0.9843_F1E327BC-269C-435d-A152-05C5408002CA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2024-12-05T06:31:00Z</dcterms:created>
  <dc:creator>Apache POI</dc:creator>
  <cp:lastModifiedBy>逢坂大河</cp:lastModifiedBy>
  <dcterms:modified xsi:type="dcterms:W3CDTF">2025-10-08T08:53:26Z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2052-11.1.0.9843</vt:lpwstr>
  </property>
  <property fmtid="{D5CDD505-2E9C-101B-9397-08002B2CF9AE}" pid="3" name="ICV">
    <vt:lpwstr>FA0E7965FB5F4FE6BE06D1CC8F053C71_12</vt:lpwstr>
  </property>
  <property fmtid="{D5CDD505-2E9C-101B-9397-08002B2CF9AE}" pid="4" name="KSOTemplateDocerSaveRecord">
    <vt:lpwstr>eyJoZGlkIjoiOTZhZTBkZGIyNTU1NzE2YWE5ZmVhYmUyOTUzNGE3NjEiLCJ1c2VySWQiOiIyNTQ2MzQ5MDAifQ==</vt:lpwstr>
  </property>
</Properties>
</file>