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autoSpaceDE w:val="0"/>
        <w:autoSpaceDN w:val="0"/>
        <w:spacing w:before="940" w:after="0" w:line="360" w:lineRule="auto"/>
        <w:ind w:left="0" w:leftChars="0" w:right="0" w:firstLine="0" w:firstLineChars="0"/>
        <w:jc w:val="center"/>
        <w:textAlignment w:val="auto"/>
        <w:rPr>
          <w:rFonts w:hint="eastAsia" w:ascii="仿宋" w:hAnsi="仿宋" w:eastAsia="仿宋" w:cs="仿宋"/>
          <w:b/>
          <w:i w:val="0"/>
          <w:color w:val="000000"/>
          <w:sz w:val="38"/>
          <w:lang w:eastAsia="zh-CN"/>
        </w:rPr>
      </w:pPr>
    </w:p>
    <w:p>
      <w:pPr>
        <w:wordWrap/>
        <w:autoSpaceDE w:val="0"/>
        <w:autoSpaceDN w:val="0"/>
        <w:spacing w:before="940" w:after="0" w:line="360" w:lineRule="auto"/>
        <w:ind w:left="0" w:leftChars="0" w:right="0" w:firstLine="0" w:firstLineChars="0"/>
        <w:jc w:val="center"/>
        <w:textAlignment w:val="auto"/>
        <w:rPr>
          <w:rFonts w:hint="eastAsia" w:ascii="仿宋" w:hAnsi="仿宋" w:eastAsia="仿宋" w:cs="仿宋"/>
          <w:b/>
          <w:i w:val="0"/>
          <w:color w:val="000000"/>
          <w:sz w:val="38"/>
          <w:lang w:eastAsia="zh-CN"/>
        </w:rPr>
      </w:pPr>
      <w:r>
        <w:rPr>
          <w:rFonts w:hint="eastAsia" w:ascii="仿宋" w:hAnsi="仿宋" w:eastAsia="仿宋" w:cs="仿宋"/>
          <w:b/>
          <w:i w:val="0"/>
          <w:color w:val="000000"/>
          <w:sz w:val="38"/>
          <w:lang w:eastAsia="zh-CN"/>
        </w:rPr>
        <w:t>嘉兴奥津佳特种纺织品有限公司</w:t>
      </w:r>
    </w:p>
    <w:p>
      <w:pPr>
        <w:wordWrap/>
        <w:autoSpaceDE w:val="0"/>
        <w:autoSpaceDN w:val="0"/>
        <w:spacing w:before="940" w:after="0" w:line="360" w:lineRule="auto"/>
        <w:ind w:left="0" w:leftChars="0" w:right="0" w:firstLine="0" w:firstLineChars="0"/>
        <w:jc w:val="center"/>
        <w:textAlignment w:val="auto"/>
        <w:rPr>
          <w:rFonts w:hint="eastAsia" w:ascii="仿宋" w:hAnsi="仿宋" w:eastAsia="仿宋" w:cs="仿宋"/>
          <w:sz w:val="38"/>
        </w:rPr>
      </w:pPr>
      <w:r>
        <w:rPr>
          <w:rFonts w:hint="eastAsia" w:ascii="仿宋" w:hAnsi="仿宋" w:eastAsia="仿宋" w:cs="仿宋"/>
          <w:b/>
          <w:i w:val="0"/>
          <w:color w:val="000000"/>
          <w:sz w:val="38"/>
        </w:rPr>
        <w:t>202</w:t>
      </w:r>
      <w:r>
        <w:rPr>
          <w:rFonts w:hint="eastAsia" w:ascii="仿宋" w:hAnsi="仿宋" w:eastAsia="仿宋" w:cs="仿宋"/>
          <w:b/>
          <w:i w:val="0"/>
          <w:color w:val="000000"/>
          <w:sz w:val="38"/>
          <w:lang w:val="en-US" w:eastAsia="zh-CN"/>
        </w:rPr>
        <w:t>4</w:t>
      </w:r>
      <w:r>
        <w:rPr>
          <w:rFonts w:hint="eastAsia" w:ascii="仿宋" w:hAnsi="仿宋" w:eastAsia="仿宋" w:cs="仿宋"/>
          <w:b/>
          <w:i w:val="0"/>
          <w:color w:val="000000"/>
          <w:sz w:val="38"/>
        </w:rPr>
        <w:t xml:space="preserve"> 年度社会责任报告</w:t>
      </w: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r>
        <w:rPr>
          <w:rFonts w:hint="eastAsia" w:ascii="仿宋" w:hAnsi="仿宋" w:eastAsia="仿宋" w:cs="仿宋"/>
        </w:rPr>
        <mc:AlternateContent>
          <mc:Choice Requires="wps">
            <w:drawing>
              <wp:anchor distT="0" distB="0" distL="0" distR="0" simplePos="0" relativeHeight="251659264" behindDoc="0" locked="0" layoutInCell="1" allowOverlap="1">
                <wp:simplePos x="0" y="0"/>
                <wp:positionH relativeFrom="column">
                  <wp:posOffset>1509395</wp:posOffset>
                </wp:positionH>
                <wp:positionV relativeFrom="paragraph">
                  <wp:posOffset>789940</wp:posOffset>
                </wp:positionV>
                <wp:extent cx="2273300" cy="304800"/>
                <wp:effectExtent l="0" t="0" r="0" b="0"/>
                <wp:wrapTopAndBottom/>
                <wp:docPr id="7" name="文本框 7"/>
                <wp:cNvGraphicFramePr/>
                <a:graphic xmlns:a="http://schemas.openxmlformats.org/drawingml/2006/main">
                  <a:graphicData uri="http://schemas.microsoft.com/office/word/2010/wordprocessingShape">
                    <wps:wsp>
                      <wps:cNvSpPr txBox="1"/>
                      <wps:spPr>
                        <a:xfrm>
                          <a:off x="0" y="0"/>
                          <a:ext cx="2273300" cy="304800"/>
                        </a:xfrm>
                        <a:prstGeom prst="rect">
                          <a:avLst/>
                        </a:prstGeom>
                        <a:noFill/>
                        <a:ln w="6350">
                          <a:noFill/>
                        </a:ln>
                      </wps:spPr>
                      <wps:txbx>
                        <w:txbxContent>
                          <w:p>
                            <w:pPr>
                              <w:wordWrap/>
                              <w:autoSpaceDE w:val="0"/>
                              <w:autoSpaceDN w:val="0"/>
                              <w:spacing w:before="0" w:after="0" w:line="480" w:lineRule="atLeast"/>
                              <w:ind w:left="0" w:right="0"/>
                              <w:jc w:val="both"/>
                              <w:textAlignment w:val="auto"/>
                              <w:rPr>
                                <w:sz w:val="38"/>
                              </w:rPr>
                            </w:pPr>
                            <w:r>
                              <w:rPr>
                                <w:rFonts w:ascii="宋体" w:hAnsi="宋体" w:eastAsia="宋体" w:cs="宋体"/>
                                <w:b/>
                                <w:i w:val="0"/>
                                <w:color w:val="000000"/>
                                <w:sz w:val="38"/>
                              </w:rPr>
                              <w:t>202</w:t>
                            </w:r>
                            <w:r>
                              <w:rPr>
                                <w:rFonts w:hint="eastAsia" w:ascii="宋体" w:hAnsi="宋体" w:eastAsia="宋体" w:cs="宋体"/>
                                <w:b/>
                                <w:i w:val="0"/>
                                <w:color w:val="000000"/>
                                <w:sz w:val="38"/>
                                <w:lang w:val="en-US" w:eastAsia="zh-CN"/>
                              </w:rPr>
                              <w:t>5</w:t>
                            </w:r>
                            <w:r>
                              <w:rPr>
                                <w:rFonts w:ascii="宋体" w:hAnsi="宋体" w:eastAsia="宋体" w:cs="宋体"/>
                                <w:b/>
                                <w:i w:val="0"/>
                                <w:color w:val="000000"/>
                                <w:sz w:val="38"/>
                              </w:rPr>
                              <w:t xml:space="preserve">年 </w:t>
                            </w:r>
                            <w:r>
                              <w:rPr>
                                <w:rFonts w:hint="eastAsia" w:ascii="宋体" w:hAnsi="宋体" w:eastAsia="宋体" w:cs="宋体"/>
                                <w:b/>
                                <w:i w:val="0"/>
                                <w:color w:val="000000"/>
                                <w:sz w:val="38"/>
                                <w:lang w:val="en-US" w:eastAsia="zh-CN"/>
                              </w:rPr>
                              <w:t>1</w:t>
                            </w:r>
                            <w:r>
                              <w:rPr>
                                <w:rFonts w:ascii="宋体" w:hAnsi="宋体" w:eastAsia="宋体" w:cs="宋体"/>
                                <w:b/>
                                <w:i w:val="0"/>
                                <w:color w:val="000000"/>
                                <w:sz w:val="38"/>
                              </w:rPr>
                              <w:t xml:space="preserve"> 月 15 日</w:t>
                            </w:r>
                          </w:p>
                        </w:txbxContent>
                      </wps:txbx>
                      <wps:bodyPr vert="horz" wrap="square" lIns="0" tIns="0" rIns="0" bIns="0" anchor="t">
                        <a:spAutoFit/>
                      </wps:bodyPr>
                    </wps:wsp>
                  </a:graphicData>
                </a:graphic>
              </wp:anchor>
            </w:drawing>
          </mc:Choice>
          <mc:Fallback>
            <w:pict>
              <v:shape id="_x0000_s1026" o:spid="_x0000_s1026" o:spt="202" type="#_x0000_t202" style="position:absolute;left:0pt;margin-left:118.85pt;margin-top:62.2pt;height:24pt;width:179pt;mso-wrap-distance-bottom:0pt;mso-wrap-distance-top:0pt;z-index:251659264;mso-width-relative:page;mso-height-relative:page;" filled="f" stroked="f" coordsize="21600,21600" o:gfxdata="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sw/17NkAAAALAQAADwAAAAAAAAABACAAAAAiAAAAZHJzL2Rvd25y&#10;ZXYueG1sUEsBAhQAFAAAAAgAh07iQB8rRdfEAQAAYAMAAA4AAAAAAAAAAQAgAAAAKAEAAGRycy9l&#10;Mm9Eb2MueG1sUEsFBgAAAAAGAAYAWQEAAF4FAAAAAA==&#10;">
                <v:fill on="f" focussize="0,0"/>
                <v:stroke on="f" weight="0.5pt"/>
                <v:imagedata o:title=""/>
                <o:lock v:ext="edit" aspectratio="f"/>
                <v:textbox inset="0mm,0mm,0mm,0mm" style="mso-fit-shape-to-text:t;">
                  <w:txbxContent>
                    <w:p>
                      <w:pPr>
                        <w:wordWrap/>
                        <w:autoSpaceDE w:val="0"/>
                        <w:autoSpaceDN w:val="0"/>
                        <w:spacing w:before="0" w:after="0" w:line="480" w:lineRule="atLeast"/>
                        <w:ind w:left="0" w:right="0"/>
                        <w:jc w:val="both"/>
                        <w:textAlignment w:val="auto"/>
                        <w:rPr>
                          <w:sz w:val="38"/>
                        </w:rPr>
                      </w:pPr>
                      <w:r>
                        <w:rPr>
                          <w:rFonts w:ascii="宋体" w:hAnsi="宋体" w:eastAsia="宋体" w:cs="宋体"/>
                          <w:b/>
                          <w:i w:val="0"/>
                          <w:color w:val="000000"/>
                          <w:sz w:val="38"/>
                        </w:rPr>
                        <w:t>202</w:t>
                      </w:r>
                      <w:r>
                        <w:rPr>
                          <w:rFonts w:hint="eastAsia" w:ascii="宋体" w:hAnsi="宋体" w:eastAsia="宋体" w:cs="宋体"/>
                          <w:b/>
                          <w:i w:val="0"/>
                          <w:color w:val="000000"/>
                          <w:sz w:val="38"/>
                          <w:lang w:val="en-US" w:eastAsia="zh-CN"/>
                        </w:rPr>
                        <w:t>5</w:t>
                      </w:r>
                      <w:r>
                        <w:rPr>
                          <w:rFonts w:ascii="宋体" w:hAnsi="宋体" w:eastAsia="宋体" w:cs="宋体"/>
                          <w:b/>
                          <w:i w:val="0"/>
                          <w:color w:val="000000"/>
                          <w:sz w:val="38"/>
                        </w:rPr>
                        <w:t xml:space="preserve">年 </w:t>
                      </w:r>
                      <w:r>
                        <w:rPr>
                          <w:rFonts w:hint="eastAsia" w:ascii="宋体" w:hAnsi="宋体" w:eastAsia="宋体" w:cs="宋体"/>
                          <w:b/>
                          <w:i w:val="0"/>
                          <w:color w:val="000000"/>
                          <w:sz w:val="38"/>
                          <w:lang w:val="en-US" w:eastAsia="zh-CN"/>
                        </w:rPr>
                        <w:t>1</w:t>
                      </w:r>
                      <w:r>
                        <w:rPr>
                          <w:rFonts w:ascii="宋体" w:hAnsi="宋体" w:eastAsia="宋体" w:cs="宋体"/>
                          <w:b/>
                          <w:i w:val="0"/>
                          <w:color w:val="000000"/>
                          <w:sz w:val="38"/>
                        </w:rPr>
                        <w:t xml:space="preserve"> 月 15 日</w:t>
                      </w:r>
                    </w:p>
                  </w:txbxContent>
                </v:textbox>
                <w10:wrap type="topAndBottom"/>
              </v:shape>
            </w:pict>
          </mc:Fallback>
        </mc:AlternateContent>
      </w:r>
      <w:r>
        <w:rPr>
          <w:rFonts w:hint="eastAsia" w:ascii="仿宋" w:hAnsi="仿宋" w:eastAsia="仿宋" w:cs="仿宋"/>
        </w:rPr>
        <mc:AlternateContent>
          <mc:Choice Requires="wps">
            <w:drawing>
              <wp:anchor distT="0" distB="0" distL="0" distR="0" simplePos="0" relativeHeight="251659264" behindDoc="0" locked="0" layoutInCell="1" allowOverlap="1">
                <wp:simplePos x="0" y="0"/>
                <wp:positionH relativeFrom="column">
                  <wp:posOffset>2095500</wp:posOffset>
                </wp:positionH>
                <wp:positionV relativeFrom="paragraph">
                  <wp:posOffset>0</wp:posOffset>
                </wp:positionV>
                <wp:extent cx="2273300" cy="723900"/>
                <wp:effectExtent l="0" t="0" r="0" b="0"/>
                <wp:wrapTopAndBottom/>
                <wp:docPr id="1" name="文本框 1"/>
                <wp:cNvGraphicFramePr/>
                <a:graphic xmlns:a="http://schemas.openxmlformats.org/drawingml/2006/main">
                  <a:graphicData uri="http://schemas.microsoft.com/office/word/2010/wordprocessingShape">
                    <wps:wsp>
                      <wps:cNvSpPr txBox="1"/>
                      <wps:spPr>
                        <a:xfrm>
                          <a:off x="0" y="0"/>
                          <a:ext cx="2273300" cy="723900"/>
                        </a:xfrm>
                        <a:prstGeom prst="rect">
                          <a:avLst/>
                        </a:prstGeom>
                        <a:noFill/>
                        <a:ln w="6350">
                          <a:noFill/>
                        </a:ln>
                      </wps:spPr>
                      <wps:bodyPr vert="horz" wrap="square" lIns="0" tIns="0" rIns="0" bIns="0" anchor="t">
                        <a:noAutofit/>
                      </wps:bodyPr>
                    </wps:wsp>
                  </a:graphicData>
                </a:graphic>
              </wp:anchor>
            </w:drawing>
          </mc:Choice>
          <mc:Fallback>
            <w:pict>
              <v:shape id="_x0000_s1026" o:spid="_x0000_s1026" o:spt="202" type="#_x0000_t202" style="position:absolute;left:0pt;margin-left:165pt;margin-top:0pt;height:57pt;width:179pt;mso-wrap-distance-bottom:0pt;mso-wrap-distance-top:0pt;z-index:251659264;mso-width-relative:page;mso-height-relative:page;" filled="f" stroked="f" coordsize="21600,21600" o:gfxdata="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sGPX31gAAAAgBAAAPAAAAAAAAAAEAIAAAACIAAABkcnMvZG93bnJldi54bWxQSwEC&#10;FAAUAAAACACHTuJAm8FcgL0BAABVAwAADgAAAAAAAAABACAAAAAlAQAAZHJzL2Uyb0RvYy54bWxQ&#10;SwUGAAAAAAYABgBZAQAAVAUAAAAA&#10;">
                <v:fill on="f" focussize="0,0"/>
                <v:stroke on="f" weight="0.5pt"/>
                <v:imagedata o:title=""/>
                <o:lock v:ext="edit" aspectratio="f"/>
                <v:textbox inset="0mm,0mm,0mm,0mm"/>
                <w10:wrap type="topAndBottom"/>
              </v:shape>
            </w:pict>
          </mc:Fallback>
        </mc:AlternateContent>
      </w:r>
      <w:r>
        <w:rPr>
          <w:rFonts w:hint="eastAsia" w:ascii="仿宋" w:hAnsi="仿宋" w:eastAsia="仿宋" w:cs="仿宋"/>
        </w:rPr>
        <w:br w:type="page"/>
      </w:r>
    </w:p>
    <w:p>
      <w:pPr>
        <w:wordWrap/>
        <w:autoSpaceDE w:val="0"/>
        <w:autoSpaceDN w:val="0"/>
        <w:spacing w:before="760" w:after="0" w:line="360" w:lineRule="auto"/>
        <w:ind w:left="0" w:leftChars="0" w:right="0" w:firstLine="0" w:firstLineChars="0"/>
        <w:jc w:val="center"/>
        <w:textAlignment w:val="auto"/>
        <w:rPr>
          <w:rFonts w:hint="eastAsia" w:ascii="仿宋" w:hAnsi="仿宋" w:eastAsia="仿宋" w:cs="仿宋"/>
          <w:b/>
          <w:bCs/>
          <w:sz w:val="28"/>
        </w:rPr>
      </w:pPr>
      <w:r>
        <w:rPr>
          <w:rFonts w:hint="eastAsia" w:ascii="仿宋" w:hAnsi="仿宋" w:eastAsia="仿宋" w:cs="仿宋"/>
          <w:b/>
          <w:bCs/>
          <w:i w:val="0"/>
          <w:color w:val="000000"/>
          <w:sz w:val="28"/>
        </w:rPr>
        <w:t>前言</w:t>
      </w:r>
    </w:p>
    <w:p>
      <w:pPr>
        <w:wordWrap/>
        <w:autoSpaceDE w:val="0"/>
        <w:autoSpaceDN w:val="0"/>
        <w:spacing w:before="640" w:after="0" w:line="360" w:lineRule="auto"/>
        <w:ind w:left="0" w:leftChars="0" w:right="0" w:firstLine="0" w:firstLineChars="0"/>
        <w:jc w:val="both"/>
        <w:textAlignment w:val="auto"/>
        <w:rPr>
          <w:rFonts w:hint="eastAsia" w:ascii="仿宋" w:hAnsi="仿宋" w:eastAsia="仿宋" w:cs="仿宋"/>
          <w:b/>
          <w:bCs/>
          <w:sz w:val="24"/>
          <w:szCs w:val="24"/>
        </w:rPr>
      </w:pPr>
      <w:r>
        <w:rPr>
          <w:rFonts w:hint="eastAsia" w:ascii="仿宋" w:hAnsi="仿宋" w:eastAsia="仿宋" w:cs="仿宋"/>
          <w:b/>
          <w:bCs/>
          <w:i w:val="0"/>
          <w:color w:val="000000"/>
          <w:sz w:val="24"/>
          <w:szCs w:val="24"/>
        </w:rPr>
        <w:t>报告简介</w:t>
      </w:r>
    </w:p>
    <w:p>
      <w:pPr>
        <w:wordWrap/>
        <w:autoSpaceDE w:val="0"/>
        <w:autoSpaceDN w:val="0"/>
        <w:spacing w:before="0" w:after="0" w:line="360" w:lineRule="auto"/>
        <w:ind w:left="0" w:leftChars="0" w:right="8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报告回顾了公司202</w:t>
      </w:r>
      <w:r>
        <w:rPr>
          <w:rFonts w:hint="eastAsia" w:ascii="仿宋" w:hAnsi="仿宋" w:eastAsia="仿宋" w:cs="仿宋"/>
          <w:b w:val="0"/>
          <w:i w:val="0"/>
          <w:color w:val="000000"/>
          <w:sz w:val="24"/>
          <w:szCs w:val="24"/>
          <w:lang w:val="en-US" w:eastAsia="zh-CN"/>
        </w:rPr>
        <w:t>4</w:t>
      </w:r>
      <w:r>
        <w:rPr>
          <w:rFonts w:hint="eastAsia" w:ascii="仿宋" w:hAnsi="仿宋" w:eastAsia="仿宋" w:cs="仿宋"/>
          <w:b w:val="0"/>
          <w:i w:val="0"/>
          <w:color w:val="000000"/>
          <w:sz w:val="24"/>
          <w:szCs w:val="24"/>
        </w:rPr>
        <w:t>年在社会责任方面所做的各项工作，披露了公司履行经济、环境和社会责任方面的理念、践行和成绩。</w:t>
      </w:r>
    </w:p>
    <w:p>
      <w:pPr>
        <w:wordWrap/>
        <w:autoSpaceDE w:val="0"/>
        <w:autoSpaceDN w:val="0"/>
        <w:spacing w:before="180" w:after="0" w:line="360" w:lineRule="auto"/>
        <w:ind w:left="0" w:leftChars="0" w:right="0" w:firstLine="0" w:firstLineChars="0"/>
        <w:jc w:val="both"/>
        <w:textAlignment w:val="auto"/>
        <w:rPr>
          <w:rFonts w:hint="eastAsia" w:ascii="仿宋" w:hAnsi="仿宋" w:eastAsia="仿宋" w:cs="仿宋"/>
          <w:b/>
          <w:bCs/>
          <w:sz w:val="24"/>
          <w:szCs w:val="24"/>
        </w:rPr>
      </w:pPr>
      <w:r>
        <w:rPr>
          <w:rFonts w:hint="eastAsia" w:ascii="仿宋" w:hAnsi="仿宋" w:eastAsia="仿宋" w:cs="仿宋"/>
          <w:b/>
          <w:bCs/>
          <w:i w:val="0"/>
          <w:color w:val="000000"/>
          <w:sz w:val="24"/>
          <w:szCs w:val="24"/>
        </w:rPr>
        <w:t>时间范围</w:t>
      </w:r>
    </w:p>
    <w:p>
      <w:pPr>
        <w:tabs>
          <w:tab w:val="left" w:pos="7350"/>
        </w:tabs>
        <w:wordWrap/>
        <w:autoSpaceDE w:val="0"/>
        <w:autoSpaceDN w:val="0"/>
        <w:spacing w:before="0" w:after="0" w:line="360" w:lineRule="auto"/>
        <w:ind w:left="0" w:leftChars="0" w:right="6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报告中的202</w:t>
      </w:r>
      <w:r>
        <w:rPr>
          <w:rFonts w:hint="eastAsia" w:ascii="仿宋" w:hAnsi="仿宋" w:eastAsia="仿宋" w:cs="仿宋"/>
          <w:b w:val="0"/>
          <w:i w:val="0"/>
          <w:color w:val="000000"/>
          <w:sz w:val="24"/>
          <w:szCs w:val="24"/>
          <w:lang w:val="en-US" w:eastAsia="zh-CN"/>
        </w:rPr>
        <w:t>4</w:t>
      </w:r>
      <w:r>
        <w:rPr>
          <w:rFonts w:hint="eastAsia" w:ascii="仿宋" w:hAnsi="仿宋" w:eastAsia="仿宋" w:cs="仿宋"/>
          <w:b w:val="0"/>
          <w:i w:val="0"/>
          <w:color w:val="000000"/>
          <w:sz w:val="24"/>
          <w:szCs w:val="24"/>
        </w:rPr>
        <w:t>年是指202</w:t>
      </w:r>
      <w:r>
        <w:rPr>
          <w:rFonts w:hint="eastAsia" w:ascii="仿宋" w:hAnsi="仿宋" w:eastAsia="仿宋" w:cs="仿宋"/>
          <w:b w:val="0"/>
          <w:i w:val="0"/>
          <w:color w:val="000000"/>
          <w:sz w:val="24"/>
          <w:szCs w:val="24"/>
          <w:lang w:val="en-US" w:eastAsia="zh-CN"/>
        </w:rPr>
        <w:t>4</w:t>
      </w:r>
      <w:r>
        <w:rPr>
          <w:rFonts w:hint="eastAsia" w:ascii="仿宋" w:hAnsi="仿宋" w:eastAsia="仿宋" w:cs="仿宋"/>
          <w:b w:val="0"/>
          <w:i w:val="0"/>
          <w:color w:val="000000"/>
          <w:sz w:val="24"/>
          <w:szCs w:val="24"/>
        </w:rPr>
        <w:t>年1月1日-202</w:t>
      </w:r>
      <w:r>
        <w:rPr>
          <w:rFonts w:hint="eastAsia" w:ascii="仿宋" w:hAnsi="仿宋" w:eastAsia="仿宋" w:cs="仿宋"/>
          <w:b w:val="0"/>
          <w:i w:val="0"/>
          <w:color w:val="000000"/>
          <w:sz w:val="24"/>
          <w:szCs w:val="24"/>
          <w:lang w:val="en-US" w:eastAsia="zh-CN"/>
        </w:rPr>
        <w:t>4</w:t>
      </w:r>
      <w:r>
        <w:rPr>
          <w:rFonts w:hint="eastAsia" w:ascii="仿宋" w:hAnsi="仿宋" w:eastAsia="仿宋" w:cs="仿宋"/>
          <w:b w:val="0"/>
          <w:i w:val="0"/>
          <w:color w:val="000000"/>
          <w:sz w:val="24"/>
          <w:szCs w:val="24"/>
        </w:rPr>
        <w:t>年12月31日, 部分内容适当追溯以往年份。</w:t>
      </w:r>
    </w:p>
    <w:p>
      <w:pPr>
        <w:wordWrap/>
        <w:autoSpaceDE w:val="0"/>
        <w:autoSpaceDN w:val="0"/>
        <w:spacing w:before="160" w:after="0" w:line="360" w:lineRule="auto"/>
        <w:ind w:left="0" w:leftChars="0" w:right="0" w:firstLine="0" w:firstLineChars="0"/>
        <w:jc w:val="both"/>
        <w:textAlignment w:val="auto"/>
        <w:rPr>
          <w:rFonts w:hint="eastAsia" w:ascii="仿宋" w:hAnsi="仿宋" w:eastAsia="仿宋" w:cs="仿宋"/>
          <w:b/>
          <w:bCs/>
          <w:sz w:val="24"/>
          <w:szCs w:val="24"/>
        </w:rPr>
      </w:pPr>
      <w:r>
        <w:rPr>
          <w:rFonts w:hint="eastAsia" w:ascii="仿宋" w:hAnsi="仿宋" w:eastAsia="仿宋" w:cs="仿宋"/>
          <w:b/>
          <w:bCs/>
          <w:i w:val="0"/>
          <w:color w:val="000000"/>
          <w:sz w:val="24"/>
          <w:szCs w:val="24"/>
        </w:rPr>
        <w:t>编制依据</w:t>
      </w:r>
    </w:p>
    <w:p>
      <w:pPr>
        <w:wordWrap/>
        <w:autoSpaceDE w:val="0"/>
        <w:autoSpaceDN w:val="0"/>
        <w:spacing w:before="0" w:after="0" w:line="360" w:lineRule="auto"/>
        <w:ind w:left="0" w:leftChars="0" w:right="6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本报告撰写参照中国国家标准GB/T36001-2015《社会责任报告编写指南》、中国社科院《中国企业社会责任报告编写指南(CASS-CSR3.0) 》、ISO26000:2010《社会责任国际标准》、全球报告倡议组织(GRI)《可持续发展报告指南》。</w:t>
      </w:r>
    </w:p>
    <w:p>
      <w:pPr>
        <w:wordWrap/>
        <w:autoSpaceDE w:val="0"/>
        <w:autoSpaceDN w:val="0"/>
        <w:spacing w:before="200" w:after="0" w:line="360" w:lineRule="auto"/>
        <w:ind w:left="0" w:leftChars="0" w:right="0" w:firstLine="0" w:firstLineChars="0"/>
        <w:jc w:val="both"/>
        <w:textAlignment w:val="auto"/>
        <w:rPr>
          <w:rFonts w:hint="eastAsia" w:ascii="仿宋" w:hAnsi="仿宋" w:eastAsia="仿宋" w:cs="仿宋"/>
          <w:b/>
          <w:bCs/>
          <w:sz w:val="24"/>
          <w:szCs w:val="24"/>
        </w:rPr>
      </w:pPr>
      <w:r>
        <w:rPr>
          <w:rFonts w:hint="eastAsia" w:ascii="仿宋" w:hAnsi="仿宋" w:eastAsia="仿宋" w:cs="仿宋"/>
          <w:b/>
          <w:bCs/>
          <w:i w:val="0"/>
          <w:color w:val="000000"/>
          <w:sz w:val="24"/>
          <w:szCs w:val="24"/>
        </w:rPr>
        <w:t>称谓说明</w:t>
      </w:r>
    </w:p>
    <w:p>
      <w:pPr>
        <w:wordWrap/>
        <w:autoSpaceDE w:val="0"/>
        <w:autoSpaceDN w:val="0"/>
        <w:spacing w:before="0" w:after="0" w:line="360" w:lineRule="auto"/>
        <w:ind w:left="0" w:leftChars="0" w:right="6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为方便表述和阅读，在报告的表述中分别使用“</w:t>
      </w:r>
      <w:r>
        <w:rPr>
          <w:rFonts w:hint="eastAsia" w:ascii="仿宋" w:hAnsi="仿宋" w:eastAsia="仿宋" w:cs="仿宋"/>
          <w:b w:val="0"/>
          <w:i w:val="0"/>
          <w:color w:val="000000"/>
          <w:sz w:val="24"/>
          <w:szCs w:val="24"/>
          <w:lang w:val="en-US" w:eastAsia="zh-CN"/>
        </w:rPr>
        <w:t>奥津佳</w:t>
      </w:r>
      <w:r>
        <w:rPr>
          <w:rFonts w:hint="eastAsia" w:ascii="仿宋" w:hAnsi="仿宋" w:eastAsia="仿宋" w:cs="仿宋"/>
          <w:b w:val="0"/>
          <w:i w:val="0"/>
          <w:color w:val="000000"/>
          <w:sz w:val="24"/>
          <w:szCs w:val="24"/>
        </w:rPr>
        <w:t>”、“公司”、“我们”等称谓。</w:t>
      </w:r>
    </w:p>
    <w:p>
      <w:pPr>
        <w:wordWrap/>
        <w:autoSpaceDE w:val="0"/>
        <w:autoSpaceDN w:val="0"/>
        <w:spacing w:before="140" w:after="0" w:line="360" w:lineRule="auto"/>
        <w:ind w:left="0" w:leftChars="0" w:right="0" w:firstLine="0" w:firstLineChars="0"/>
        <w:jc w:val="both"/>
        <w:textAlignment w:val="auto"/>
        <w:rPr>
          <w:rFonts w:hint="eastAsia" w:ascii="仿宋" w:hAnsi="仿宋" w:eastAsia="仿宋" w:cs="仿宋"/>
          <w:b/>
          <w:bCs/>
          <w:sz w:val="24"/>
          <w:szCs w:val="24"/>
        </w:rPr>
      </w:pPr>
      <w:r>
        <w:rPr>
          <w:rFonts w:hint="eastAsia" w:ascii="仿宋" w:hAnsi="仿宋" w:eastAsia="仿宋" w:cs="仿宋"/>
          <w:b/>
          <w:bCs/>
          <w:i w:val="0"/>
          <w:color w:val="000000"/>
          <w:sz w:val="24"/>
          <w:szCs w:val="24"/>
        </w:rPr>
        <w:t>数据来源</w:t>
      </w:r>
    </w:p>
    <w:p>
      <w:pPr>
        <w:tabs>
          <w:tab w:val="left" w:pos="8200"/>
        </w:tabs>
        <w:wordWrap/>
        <w:autoSpaceDE w:val="0"/>
        <w:autoSpaceDN w:val="0"/>
        <w:spacing w:before="0" w:after="0" w:line="360" w:lineRule="auto"/>
        <w:ind w:left="0" w:leftChars="0" w:right="6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202</w:t>
      </w:r>
      <w:r>
        <w:rPr>
          <w:rFonts w:hint="eastAsia" w:ascii="仿宋" w:hAnsi="仿宋" w:eastAsia="仿宋" w:cs="仿宋"/>
          <w:b w:val="0"/>
          <w:i w:val="0"/>
          <w:color w:val="000000"/>
          <w:sz w:val="24"/>
          <w:szCs w:val="24"/>
          <w:lang w:val="en-US" w:eastAsia="zh-CN"/>
        </w:rPr>
        <w:t>4</w:t>
      </w:r>
      <w:r>
        <w:rPr>
          <w:rFonts w:hint="eastAsia" w:ascii="仿宋" w:hAnsi="仿宋" w:eastAsia="仿宋" w:cs="仿宋"/>
          <w:b w:val="0"/>
          <w:i w:val="0"/>
          <w:color w:val="000000"/>
          <w:sz w:val="24"/>
          <w:szCs w:val="24"/>
        </w:rPr>
        <w:t>年报及其他相关统计报告、正式文件，其他数据来源公司内部文件和信息统计系统数据。</w:t>
      </w:r>
    </w:p>
    <w:p>
      <w:pPr>
        <w:wordWrap/>
        <w:autoSpaceDE w:val="0"/>
        <w:autoSpaceDN w:val="0"/>
        <w:spacing w:before="140" w:after="0" w:line="360" w:lineRule="auto"/>
        <w:ind w:left="0" w:leftChars="0" w:right="0" w:firstLine="0" w:firstLineChars="0"/>
        <w:jc w:val="both"/>
        <w:textAlignment w:val="auto"/>
        <w:rPr>
          <w:rFonts w:hint="eastAsia" w:ascii="仿宋" w:hAnsi="仿宋" w:eastAsia="仿宋" w:cs="仿宋"/>
          <w:b/>
          <w:bCs/>
          <w:sz w:val="24"/>
          <w:szCs w:val="24"/>
        </w:rPr>
      </w:pPr>
      <w:r>
        <w:rPr>
          <w:rFonts w:hint="eastAsia" w:ascii="仿宋" w:hAnsi="仿宋" w:eastAsia="仿宋" w:cs="仿宋"/>
          <w:b/>
          <w:bCs/>
          <w:i w:val="0"/>
          <w:color w:val="000000"/>
          <w:sz w:val="24"/>
          <w:szCs w:val="24"/>
        </w:rPr>
        <w:t>可靠性保证</w:t>
      </w:r>
    </w:p>
    <w:p>
      <w:pPr>
        <w:wordWrap/>
        <w:autoSpaceDE w:val="0"/>
        <w:autoSpaceDN w:val="0"/>
        <w:spacing w:before="0" w:after="0" w:line="360" w:lineRule="auto"/>
        <w:ind w:left="0" w:leftChars="0" w:right="6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本年度社会责任报告的信息披露是真实、可靠和及时的，符合</w:t>
      </w:r>
      <w:r>
        <w:rPr>
          <w:rFonts w:hint="eastAsia" w:ascii="仿宋" w:hAnsi="仿宋" w:eastAsia="仿宋" w:cs="仿宋"/>
          <w:b w:val="0"/>
          <w:i w:val="0"/>
          <w:color w:val="000000"/>
          <w:sz w:val="24"/>
          <w:szCs w:val="24"/>
          <w:lang w:eastAsia="zh-CN"/>
        </w:rPr>
        <w:t>嘉兴奥津佳特种纺织品有限公司</w:t>
      </w:r>
      <w:r>
        <w:rPr>
          <w:rFonts w:hint="eastAsia" w:ascii="仿宋" w:hAnsi="仿宋" w:eastAsia="仿宋" w:cs="仿宋"/>
          <w:b w:val="0"/>
          <w:i w:val="0"/>
          <w:color w:val="000000"/>
          <w:sz w:val="24"/>
          <w:szCs w:val="24"/>
        </w:rPr>
        <w:t>可持续发展战略，是对利益相关方关注重点议题的积极回应，也是对社会责任绩效的客观反映。</w:t>
      </w:r>
    </w:p>
    <w:p>
      <w:pPr>
        <w:wordWrap/>
        <w:autoSpaceDE w:val="0"/>
        <w:autoSpaceDN w:val="0"/>
        <w:spacing w:before="180" w:after="0" w:line="360" w:lineRule="auto"/>
        <w:ind w:left="0" w:leftChars="0" w:right="0" w:firstLine="0" w:firstLineChars="0"/>
        <w:jc w:val="both"/>
        <w:textAlignment w:val="auto"/>
        <w:rPr>
          <w:rFonts w:hint="eastAsia" w:ascii="仿宋" w:hAnsi="仿宋" w:eastAsia="仿宋" w:cs="仿宋"/>
          <w:b/>
          <w:bCs/>
          <w:sz w:val="24"/>
          <w:szCs w:val="24"/>
        </w:rPr>
      </w:pPr>
      <w:r>
        <w:rPr>
          <w:rFonts w:hint="eastAsia" w:ascii="仿宋" w:hAnsi="仿宋" w:eastAsia="仿宋" w:cs="仿宋"/>
          <w:b/>
          <w:bCs/>
          <w:i w:val="0"/>
          <w:color w:val="000000"/>
          <w:sz w:val="24"/>
          <w:szCs w:val="24"/>
        </w:rPr>
        <w:t>报告获取</w:t>
      </w:r>
    </w:p>
    <w:p>
      <w:pPr>
        <w:wordWrap/>
        <w:autoSpaceDE w:val="0"/>
        <w:autoSpaceDN w:val="0"/>
        <w:spacing w:before="0" w:after="0" w:line="360" w:lineRule="auto"/>
        <w:ind w:left="0" w:leftChars="0" w:right="980" w:firstLine="480" w:firstLineChars="200"/>
        <w:jc w:val="both"/>
        <w:textAlignment w:val="auto"/>
        <w:rPr>
          <w:rFonts w:hint="eastAsia" w:ascii="仿宋" w:hAnsi="仿宋" w:eastAsia="仿宋" w:cs="仿宋"/>
          <w:b w:val="0"/>
          <w:i w:val="0"/>
          <w:color w:val="000000"/>
          <w:sz w:val="24"/>
          <w:szCs w:val="24"/>
        </w:rPr>
        <w:sectPr>
          <w:pgSz w:w="11860" w:h="16800"/>
          <w:pgMar w:top="1440" w:right="1800" w:bottom="1440" w:left="1800" w:header="720" w:footer="720" w:gutter="0"/>
          <w:cols w:space="720" w:num="1"/>
        </w:sectPr>
      </w:pPr>
      <w:r>
        <w:rPr>
          <w:rFonts w:hint="eastAsia" w:ascii="仿宋" w:hAnsi="仿宋" w:eastAsia="仿宋" w:cs="仿宋"/>
          <w:b w:val="0"/>
          <w:i w:val="0"/>
          <w:color w:val="000000"/>
          <w:sz w:val="24"/>
          <w:szCs w:val="24"/>
        </w:rPr>
        <w:t>本报告为中文，以纸质版形式提供。</w:t>
      </w:r>
    </w:p>
    <w:p>
      <w:pPr>
        <w:keepNext w:val="0"/>
        <w:keepLines w:val="0"/>
        <w:pageBreakBefore w:val="0"/>
        <w:widowControl w:val="0"/>
        <w:kinsoku/>
        <w:wordWrap/>
        <w:overflowPunct/>
        <w:topLinePunct w:val="0"/>
        <w:autoSpaceDE w:val="0"/>
        <w:autoSpaceDN w:val="0"/>
        <w:bidi w:val="0"/>
        <w:adjustRightInd/>
        <w:snapToGrid/>
        <w:spacing w:after="0" w:line="360" w:lineRule="auto"/>
        <w:ind w:left="0" w:leftChars="0" w:right="0" w:rightChars="0" w:firstLine="0" w:firstLineChars="0"/>
        <w:jc w:val="center"/>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嘉兴奥津佳特种纺织品有限公司</w:t>
      </w:r>
    </w:p>
    <w:p>
      <w:pPr>
        <w:keepNext w:val="0"/>
        <w:keepLines w:val="0"/>
        <w:pageBreakBefore w:val="0"/>
        <w:widowControl w:val="0"/>
        <w:kinsoku/>
        <w:wordWrap/>
        <w:overflowPunct/>
        <w:topLinePunct w:val="0"/>
        <w:autoSpaceDE w:val="0"/>
        <w:autoSpaceDN w:val="0"/>
        <w:bidi w:val="0"/>
        <w:adjustRightInd/>
        <w:snapToGrid/>
        <w:spacing w:after="0" w:line="360" w:lineRule="auto"/>
        <w:ind w:left="0" w:leftChars="0" w:right="0" w:rightChars="0" w:firstLine="0" w:firstLineChars="0"/>
        <w:jc w:val="center"/>
        <w:textAlignment w:val="auto"/>
        <w:rPr>
          <w:rFonts w:hint="eastAsia" w:ascii="仿宋" w:hAnsi="仿宋" w:eastAsia="仿宋" w:cs="仿宋"/>
          <w:b/>
          <w:bCs/>
          <w:sz w:val="30"/>
          <w:szCs w:val="30"/>
        </w:rPr>
      </w:pPr>
      <w:r>
        <w:rPr>
          <w:rFonts w:hint="eastAsia" w:ascii="仿宋" w:hAnsi="仿宋" w:eastAsia="仿宋" w:cs="仿宋"/>
          <w:b/>
          <w:bCs/>
          <w:i w:val="0"/>
          <w:color w:val="000000"/>
          <w:sz w:val="30"/>
          <w:szCs w:val="30"/>
        </w:rPr>
        <w:t>202</w:t>
      </w:r>
      <w:r>
        <w:rPr>
          <w:rFonts w:hint="eastAsia" w:ascii="仿宋" w:hAnsi="仿宋" w:eastAsia="仿宋" w:cs="仿宋"/>
          <w:b/>
          <w:bCs/>
          <w:i w:val="0"/>
          <w:color w:val="000000"/>
          <w:sz w:val="30"/>
          <w:szCs w:val="30"/>
          <w:lang w:val="en-US" w:eastAsia="zh-CN"/>
        </w:rPr>
        <w:t>4</w:t>
      </w:r>
      <w:r>
        <w:rPr>
          <w:rFonts w:hint="eastAsia" w:ascii="仿宋" w:hAnsi="仿宋" w:eastAsia="仿宋" w:cs="仿宋"/>
          <w:b/>
          <w:bCs/>
          <w:i w:val="0"/>
          <w:color w:val="000000"/>
          <w:sz w:val="30"/>
          <w:szCs w:val="30"/>
        </w:rPr>
        <w:t>年度社会责任报告</w:t>
      </w:r>
    </w:p>
    <w:p>
      <w:pPr>
        <w:keepNext w:val="0"/>
        <w:keepLines w:val="0"/>
        <w:pageBreakBefore w:val="0"/>
        <w:widowControl w:val="0"/>
        <w:tabs>
          <w:tab w:val="left" w:pos="7350"/>
          <w:tab w:val="left" w:pos="820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本报告编制以202</w:t>
      </w:r>
      <w:r>
        <w:rPr>
          <w:rFonts w:hint="eastAsia" w:ascii="仿宋" w:hAnsi="仿宋" w:eastAsia="仿宋" w:cs="仿宋"/>
          <w:b w:val="0"/>
          <w:i w:val="0"/>
          <w:color w:val="000000"/>
          <w:sz w:val="24"/>
          <w:szCs w:val="24"/>
          <w:lang w:val="en-US" w:eastAsia="zh-CN"/>
        </w:rPr>
        <w:t>4</w:t>
      </w:r>
      <w:r>
        <w:rPr>
          <w:rFonts w:hint="eastAsia" w:ascii="仿宋" w:hAnsi="仿宋" w:eastAsia="仿宋" w:cs="仿宋"/>
          <w:b w:val="0"/>
          <w:i w:val="0"/>
          <w:color w:val="000000"/>
          <w:sz w:val="24"/>
          <w:szCs w:val="24"/>
        </w:rPr>
        <w:t>年度为重点，阐述公司以“团结、务实、开拓、创新”为企业精神，积极履行企业社会责任，为社会发展做出不懈的努力。报告通过真实、客观地反映公司在产品质量、环境保护、循环经济、清洁生产、“三标”建设、合作伙伴以及社会公益等方面所做的努力，从而向社会展现公司在追求经济效益的同时，诚信对待和保护其他利益相关者，尤其是员工、消费者的合法权益，努力推进环境保护与可持续发展、资源节约与循环利用，积极参与、捐助社会公益及慈善事业，以自身发展影响和带动地方经济的振兴，促进公司与社区、社会、自然的协调、和谐发展的成果。希望本报告能起到与社会各界沟通、交流的桥梁作用，加强社会各界对本公司的认知。同时，公司也虚心接受社会的广泛监督，以期做得更好。</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0" w:firstLineChars="0"/>
        <w:jc w:val="center"/>
        <w:textAlignment w:val="auto"/>
        <w:rPr>
          <w:rFonts w:hint="eastAsia" w:ascii="仿宋" w:hAnsi="仿宋" w:eastAsia="仿宋" w:cs="仿宋"/>
          <w:b/>
          <w:bCs/>
          <w:sz w:val="32"/>
          <w:szCs w:val="32"/>
        </w:rPr>
      </w:pPr>
      <w:r>
        <w:rPr>
          <w:rFonts w:hint="eastAsia" w:ascii="仿宋" w:hAnsi="仿宋" w:eastAsia="仿宋" w:cs="仿宋"/>
          <w:b/>
          <w:bCs/>
          <w:i w:val="0"/>
          <w:color w:val="000000"/>
          <w:sz w:val="32"/>
          <w:szCs w:val="32"/>
        </w:rPr>
        <w:t>综述</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创新无止</w:t>
      </w:r>
      <w:bookmarkStart w:id="0" w:name="_GoBack"/>
      <w:r>
        <w:rPr>
          <w:rFonts w:hint="eastAsia" w:ascii="仿宋" w:hAnsi="仿宋" w:eastAsia="仿宋" w:cs="仿宋"/>
          <w:b w:val="0"/>
          <w:i w:val="0"/>
          <w:color w:val="000000"/>
          <w:sz w:val="24"/>
          <w:szCs w:val="24"/>
        </w:rPr>
        <w:t>境，</w:t>
      </w:r>
      <w:r>
        <w:rPr>
          <w:rFonts w:hint="eastAsia" w:ascii="仿宋" w:hAnsi="仿宋" w:eastAsia="仿宋" w:cs="仿宋"/>
          <w:b w:val="0"/>
          <w:i w:val="0"/>
          <w:color w:val="000000"/>
          <w:sz w:val="24"/>
          <w:szCs w:val="24"/>
          <w:lang w:val="en-US" w:eastAsia="zh-CN"/>
        </w:rPr>
        <w:t>我们</w:t>
      </w:r>
      <w:r>
        <w:rPr>
          <w:rFonts w:hint="eastAsia" w:ascii="仿宋" w:hAnsi="仿宋" w:eastAsia="仿宋" w:cs="仿宋"/>
          <w:b w:val="0"/>
          <w:i w:val="0"/>
          <w:color w:val="000000"/>
          <w:sz w:val="24"/>
          <w:szCs w:val="24"/>
        </w:rPr>
        <w:t>将把追求优质的行业服务作为一项事业，并将在嘉兴乃至全国开创行业服务新模式，在企业服务的领域中开创辉煌。</w:t>
      </w:r>
      <w:r>
        <w:rPr>
          <w:rFonts w:hint="eastAsia" w:ascii="仿宋" w:hAnsi="仿宋" w:eastAsia="仿宋" w:cs="仿宋"/>
          <w:b w:val="0"/>
          <w:i w:val="0"/>
          <w:color w:val="000000"/>
          <w:sz w:val="24"/>
          <w:szCs w:val="24"/>
          <w:lang w:val="en-US" w:eastAsia="zh-CN"/>
        </w:rPr>
        <w:t>我们</w:t>
      </w:r>
      <w:r>
        <w:rPr>
          <w:rFonts w:hint="eastAsia" w:ascii="仿宋" w:hAnsi="仿宋" w:eastAsia="仿宋" w:cs="仿宋"/>
          <w:b w:val="0"/>
          <w:i w:val="0"/>
          <w:color w:val="000000"/>
          <w:sz w:val="24"/>
          <w:szCs w:val="24"/>
        </w:rPr>
        <w:t>人任重而道远，期待与各企管精英携手，共谱和谐社会！公司致力于质量第一、顾客至上、科学管理、安全生产的方针，以成就客户、赋能未来的宗旨，为每一位用户做好服务。</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经营方针：服务人才、服务企业、服务社会</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经营理念：以顾客需求为主导，通过提供高品质的服务，为客户创造应有的价值</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企业远景：为顾客创造真实持久的价值，为员工创造合适长远的发展机会，成为</w:t>
      </w:r>
      <w:r>
        <w:rPr>
          <w:rFonts w:hint="eastAsia" w:ascii="仿宋" w:hAnsi="仿宋" w:eastAsia="仿宋" w:cs="仿宋"/>
          <w:b w:val="0"/>
          <w:i w:val="0"/>
          <w:color w:val="000000"/>
          <w:sz w:val="24"/>
          <w:szCs w:val="24"/>
          <w:lang w:val="en-US" w:eastAsia="zh-CN"/>
        </w:rPr>
        <w:t>汽车零部件</w:t>
      </w:r>
      <w:r>
        <w:rPr>
          <w:rFonts w:hint="eastAsia" w:ascii="仿宋" w:hAnsi="仿宋" w:eastAsia="仿宋" w:cs="仿宋"/>
          <w:b w:val="0"/>
          <w:i w:val="0"/>
          <w:color w:val="000000"/>
          <w:sz w:val="24"/>
          <w:szCs w:val="24"/>
        </w:rPr>
        <w:t>供应商中的领先者。</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为了更好地履行社会责任，公司结合实际情况不断修订完善内部控制制度，做到有章可循、有章必依。强化保障员工、客户、消费者、供应商等利益相关方的责任，形成了一套系统的工作体系，建立起符合现代企业要求的运行机制，将履行社会责任纳入到公司总体发展规划之中，切实履行好企业应承担的社会责任。</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0" w:firstLineChars="0"/>
        <w:jc w:val="center"/>
        <w:textAlignment w:val="auto"/>
        <w:rPr>
          <w:rFonts w:hint="eastAsia" w:ascii="仿宋" w:hAnsi="仿宋" w:eastAsia="仿宋" w:cs="仿宋"/>
          <w:b/>
          <w:bCs/>
          <w:i w:val="0"/>
          <w:color w:val="000000"/>
          <w:sz w:val="30"/>
          <w:szCs w:val="30"/>
        </w:rPr>
      </w:pP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0" w:firstLineChars="0"/>
        <w:jc w:val="center"/>
        <w:textAlignment w:val="auto"/>
        <w:rPr>
          <w:rFonts w:hint="eastAsia" w:ascii="仿宋" w:hAnsi="仿宋" w:eastAsia="仿宋" w:cs="仿宋"/>
          <w:b/>
          <w:bCs/>
          <w:sz w:val="30"/>
          <w:szCs w:val="30"/>
        </w:rPr>
      </w:pPr>
      <w:r>
        <w:rPr>
          <w:rFonts w:hint="eastAsia" w:ascii="仿宋" w:hAnsi="仿宋" w:eastAsia="仿宋" w:cs="仿宋"/>
          <w:b/>
          <w:bCs/>
          <w:i w:val="0"/>
          <w:color w:val="000000"/>
          <w:sz w:val="30"/>
          <w:szCs w:val="30"/>
        </w:rPr>
        <w:t>第一章 职工权益保护</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员工是企业最重要的财富及利益相关方，是企业可持续发展的重要因素。因此，努力创造员工与企业之间的稳定和谐关系是公司非常重视的工作内容。公司大力实施“人才兴企”战略，以人为本、关爱员工，把广纳人才并最大限度地发挥其才能、实现员工的全面发展，作为公司永恒的追求，致力于公司价值最大化与个人价值最大化的和谐统一，实现企业与员工的“双赢”。公司尊重员工的知情权、参与权、选择权、监督权，注重尊重员工，理解员工，发展依靠员工，发展成果由员工共享，以建立和健全现代企业制度为主线，注重强化企业的内外社会责任，提高员工的幸福度和满意度。</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1、公司严格遵守新《劳动法》并按照有关法律法规的规定，与所有员工签订《劳动合同》，合同签订率达到 100%，为全部符合条件的员工办理医疗、养老、失业、工伤、生育等社会保险，参保率和按规定缴费率达到 100%，确保了职工的合法权益，为员工提供健康、安全的生产和生活环境，切实维护员工的切身和合法利益。企业充分考虑外地职工的切身困难，为外地员工提供居住，以降低他们在城市工作的成本；企业每年主动与附近学校联系为外来员工子弟解决入学问题。</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2、公司实行岗位绩效薪酬工资制度，建立健全绩效考核制度。以岗定薪、按劳分配、实现就业机会平等和同工同酬，对性别、年龄、疾病、种族、宗教信仰等没有任何歧视政策。同时不盲目追求表面上的绝对平等，而是根据行业工作性质及男女心理、生理的差异，合理分配工作岗位，使其发挥各自优势，在工作中更好地发挥积极作用。收入分配不但向苦、脏、累、险及一线员工倾斜，更要向知识密集、技术高、责任重的重要岗位和关键岗位倾斜。此外，公司坚持按国家有关规定给予妊娠期和哺乳期女职工享受特别的福利制度，更好地保护了女员工的权益。</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3、公司注重对员工安全生产和劳动保护，并严格按照职业健康安全管理体系要求开展生产经营活动，对生产过程中的危险源进行全方位的识别和评价，对重大危险源制定相关的制度和相应的控制措施及应急预案并定期地进行演练，同时公司注重对员工安全教育与培训</w:t>
      </w:r>
      <w:bookmarkEnd w:id="0"/>
      <w:r>
        <w:rPr>
          <w:rFonts w:hint="eastAsia" w:ascii="仿宋" w:hAnsi="仿宋" w:eastAsia="仿宋" w:cs="仿宋"/>
          <w:b w:val="0"/>
          <w:i w:val="0"/>
          <w:color w:val="000000"/>
          <w:sz w:val="24"/>
          <w:szCs w:val="24"/>
        </w:rPr>
        <w:t>，针对不同岗位每年定期为员工配备必要的劳动防护用品及保护设施，不定期地对公司生产安全进行全面排查，并组织员工参加开展安全生产知识竞赛和消防安全演练，有效提高员工的安全生产意识和自我保护能力。202</w:t>
      </w:r>
      <w:r>
        <w:rPr>
          <w:rFonts w:hint="eastAsia" w:ascii="仿宋" w:hAnsi="仿宋" w:eastAsia="仿宋" w:cs="仿宋"/>
          <w:b w:val="0"/>
          <w:i w:val="0"/>
          <w:color w:val="000000"/>
          <w:sz w:val="24"/>
          <w:szCs w:val="24"/>
          <w:lang w:val="en-US" w:eastAsia="zh-CN"/>
        </w:rPr>
        <w:t>4</w:t>
      </w:r>
      <w:r>
        <w:rPr>
          <w:rFonts w:hint="eastAsia" w:ascii="仿宋" w:hAnsi="仿宋" w:eastAsia="仿宋" w:cs="仿宋"/>
          <w:b w:val="0"/>
          <w:i w:val="0"/>
          <w:color w:val="000000"/>
          <w:sz w:val="24"/>
          <w:szCs w:val="24"/>
        </w:rPr>
        <w:t>年度未发生重大职工伤亡事故。</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4、员工身体健康也是公司的关切点，所有新入厂员工必须体检合格，每年组织医护人员来公司为全体员工进行常规体检，发现问题及时复检、就诊，以确保员工的身心健康。针对员工的身体状况给予调整合适的工作岗位；夏天做好防暑降温措施，免费发放防暑药品； 帮扶困难员工等，处处给员工以家的温馨，体现公司对员工的关心和人性化管理。公司领导一直注重员工的健康饮食问题，为此公司制定相关管理办法和操作规章，特别是食堂所采购的食品原料应有卫生检验合格证，原料必须符合国家食品卫生标准，有盒装的，必须查看日期、厂名、保质期、质量安全标志等，做到进货单据齐全，人员持证上岗，以保护员工的身心健康。</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5、公司非常重视与员工的沟通和交流，不定期召开员工座谈会，设立流动建议箱，组织员工满意度调查、部门经理与员工进行一对一访谈等多种方式，倾听员工心声。从员工满意度调查中发现，95.50%的员工对公司的现状表示满意。</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6、公司积极开展各项文化娱乐活动，丰富员工的业余文化生活。建立职工书屋、文体活动室、篮球场等文体设施，不定期举办拔河、篮球比赛等文体活动，陶冶员工情操，增强员工的团队合作意识和集体荣誉感。每年举行迎新春联欢会、迎国庆联欢会等，在自娱自乐的同时提升员工的士气，增强员工的凝聚力和向心力。</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7、公司十分注重员工培训与职业规划，积极开展职工培训，组织员工参加专业知识和专题封闭集训，制度鼓励和支持职工参加业余进修培训、提升自身素质和综合能力，并为员工发展提供更多的机会和广阔的舞台。</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8、公司视员工为最主要的资源，以“让更多人过上好日子”作为公司追求的目标，听取员工心声，明确员工年收入目标，开展薪酬普调，为招聘员工、稳定员工、减少流动成本起到了良好的作用。与此同时，公司继续做好流动性月度、季度、年度分析，发至各有关领导，让其充分了解员工流动情况，为改进员工管理、提升职工稳定性也起到了积极作用。</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9、公司重视职工权利的保护，依据《公司法》和公司章程等的规定，建立职工监事选任制度，确保职工在公司治理中享有充分的权利；支持工会依法开展工作，成立了职工代表大会，对工资、福利、劳动安全卫生、社会保险等涉及职工切身利益的事项，通过职工代表大会等形式听取职工的意见，关心和重视职工的合理需求； 设立员工合理化建议箱，听取员工的意见和建议，公司与工会建立集体合同、工资协商机制等等，通过各种方式和途径，构建和谐稳定的劳资关系。</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0" w:firstLineChars="0"/>
        <w:jc w:val="center"/>
        <w:textAlignment w:val="auto"/>
        <w:rPr>
          <w:rFonts w:hint="eastAsia" w:ascii="仿宋" w:hAnsi="仿宋" w:eastAsia="仿宋" w:cs="仿宋"/>
          <w:b/>
          <w:bCs/>
          <w:sz w:val="30"/>
          <w:szCs w:val="30"/>
        </w:rPr>
      </w:pPr>
      <w:r>
        <w:rPr>
          <w:rFonts w:hint="eastAsia" w:ascii="仿宋" w:hAnsi="仿宋" w:eastAsia="仿宋" w:cs="仿宋"/>
          <w:b/>
          <w:bCs/>
          <w:i w:val="0"/>
          <w:color w:val="000000"/>
          <w:sz w:val="30"/>
          <w:szCs w:val="30"/>
        </w:rPr>
        <w:t>第二章 供应商、客户和消费者权益保护</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lang w:eastAsia="zh-CN"/>
        </w:rPr>
        <w:t>嘉兴奥津佳特种纺织品有限公司</w:t>
      </w:r>
      <w:r>
        <w:rPr>
          <w:rFonts w:hint="eastAsia" w:ascii="仿宋" w:hAnsi="仿宋" w:eastAsia="仿宋" w:cs="仿宋"/>
          <w:b w:val="0"/>
          <w:i w:val="0"/>
          <w:color w:val="000000"/>
          <w:sz w:val="24"/>
          <w:szCs w:val="24"/>
        </w:rPr>
        <w:t>秉承“诚、信、义”的精神，以树立企业品牌形象为支撑，通过服务内容的拓展和延伸，增加品牌的内涵和外延，致力于实现与客户及供应商的共赢。定期开展供应商大会，一方面公司积极地向上延展自己的产业链条，与供应商建立共生共荣的战略合作伙伴关系； 一方面密切关注下游行业的市场动态，及时了解下游产业目前及未来面临的困难，通过充分沟通，与客户达成彼此谅解，签订具有市场弹性的合同条款，实现双赢。</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1、作为生产制造企业，公司深刻理解上下游之间共存共荣、共同发展的鱼水共生关系，为此，公司将诚实守信作为企业发展之基，与供应商和客户建立共生共荣的战略合作伙伴关系，充分尊重并保护供应商和客户的合法权益，从不侵犯供应商及客户的商标权、专利权等知识产权，严格保护供应商及客户的秘密信息和专有信息，与之保持长期良好的合作关系。</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2、公司注重供应链一体化建设，不断完善采购流程与机制，建立公平、公正的评估体系，为供应商创造良好的竞争环境； 推行公开招标和阳光采购，杜绝暗箱操作、商业贿赂和不正当交易情形。公司严格遵守并履行合同约定，友好协商解决纷争，以保证供应商的合理合法权益。在加强与供应商的业务合作的同时，积极开展技术经验交流，协助供应商解决技术难题、提高产品品质，帮助供应商成长。</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公司与长期合作用户和供应商建立合作伙伴关系。坚持与合作伙伴共享技术、人才、资金、信息、管理等资源； 定期召开供需双方会议； 帮助合作伙伴改进作业中的浪费，分享节约利润； 激发、鼓励和承认合作伙伴的改进及其成果，坚持实行共赢共利共享发展成果的战略伙伴关系。</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4、公司相继通过了 ISO9001 质量管理体系认证，通过执行严格的质量标准，提升产品品质和服务质量，为国内外客户提供了高品质的产品和优质的服务。公司用“重质量视生命，保合格创优质，找问题求更好，利顾客树品牌”的理念教育营销人员，积极打造“主动化、专业化、高效化”的服务标准，通过实行发货承诺制度，严格按照客户要求，做好产品生产、包装、存储、运输等所有环节的措施，确保客户权益不受损害。</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5、为了保持长期满足各类客户需求，需要通过对市场调研分析，细分产品市场，摸清顾客的偏好和需求愿望，为不同行业的提供最匹配、最优质的产品，这是公司常抓不懈的工作，同时也是提高客户满意度和忠诚度的重要工作和任务。为此，公司确立了现在式服务宗旨“倾我所有、尽我所能、竭诚用户、诚信天下”和未来式服务宗旨、服务理念，形成引领行业顾客服务潮流的“竭诚服务”模式。</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0" w:firstLineChars="0"/>
        <w:jc w:val="center"/>
        <w:textAlignment w:val="auto"/>
        <w:rPr>
          <w:rFonts w:hint="eastAsia" w:ascii="仿宋" w:hAnsi="仿宋" w:eastAsia="仿宋" w:cs="仿宋"/>
          <w:b/>
          <w:bCs/>
          <w:sz w:val="30"/>
          <w:szCs w:val="30"/>
        </w:rPr>
      </w:pPr>
      <w:r>
        <w:rPr>
          <w:rFonts w:hint="eastAsia" w:ascii="仿宋" w:hAnsi="仿宋" w:eastAsia="仿宋" w:cs="仿宋"/>
          <w:b/>
          <w:bCs/>
          <w:i w:val="0"/>
          <w:color w:val="000000"/>
          <w:sz w:val="30"/>
          <w:szCs w:val="30"/>
        </w:rPr>
        <w:t>第三章</w:t>
      </w:r>
      <w:r>
        <w:rPr>
          <w:rFonts w:hint="eastAsia" w:ascii="仿宋" w:hAnsi="仿宋" w:eastAsia="仿宋" w:cs="仿宋"/>
          <w:b/>
          <w:bCs/>
          <w:sz w:val="30"/>
          <w:szCs w:val="30"/>
        </w:rPr>
        <w:t xml:space="preserve">     </w:t>
      </w:r>
      <w:r>
        <w:rPr>
          <w:rFonts w:hint="eastAsia" w:ascii="仿宋" w:hAnsi="仿宋" w:eastAsia="仿宋" w:cs="仿宋"/>
          <w:b/>
          <w:bCs/>
          <w:i w:val="0"/>
          <w:color w:val="000000"/>
          <w:sz w:val="30"/>
          <w:szCs w:val="30"/>
        </w:rPr>
        <w:t>环境保护和可持续发展</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lang w:eastAsia="zh-CN"/>
        </w:rPr>
        <w:t>嘉兴奥津佳特种纺织品有限公司</w:t>
      </w:r>
      <w:r>
        <w:rPr>
          <w:rFonts w:hint="eastAsia" w:ascii="仿宋" w:hAnsi="仿宋" w:eastAsia="仿宋" w:cs="仿宋"/>
          <w:b w:val="0"/>
          <w:i w:val="0"/>
          <w:color w:val="000000"/>
          <w:sz w:val="24"/>
          <w:szCs w:val="24"/>
        </w:rPr>
        <w:t>将环境保护作为企业可持续发展战略的重要内容，注重履行企业环境保护的职责，践行环境友好及能源节约型发展，并通过以下措施有效实现环境保护与可持续发展：</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1、公司对投资项目实行环境保护一票否决制，所有投资项目必须符合环保要求，项目投资必须充分考虑环保设计和环保投入，项目实施必须“三同时”，项目完工必须通过环保验收。</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2、公司严格按照国家环保法律法规和标准开展生产经营活动，建立健全内部环境安全管理机构和环境管理制度，依法登记排污许可信息，202</w:t>
      </w:r>
      <w:r>
        <w:rPr>
          <w:rFonts w:hint="eastAsia" w:ascii="仿宋" w:hAnsi="仿宋" w:eastAsia="仿宋" w:cs="仿宋"/>
          <w:b w:val="0"/>
          <w:i w:val="0"/>
          <w:color w:val="000000"/>
          <w:sz w:val="24"/>
          <w:szCs w:val="24"/>
          <w:lang w:val="en-US" w:eastAsia="zh-CN"/>
        </w:rPr>
        <w:t>4</w:t>
      </w:r>
      <w:r>
        <w:rPr>
          <w:rFonts w:hint="eastAsia" w:ascii="仿宋" w:hAnsi="仿宋" w:eastAsia="仿宋" w:cs="仿宋"/>
          <w:b w:val="0"/>
          <w:i w:val="0"/>
          <w:color w:val="000000"/>
          <w:sz w:val="24"/>
          <w:szCs w:val="24"/>
        </w:rPr>
        <w:t>年未发生重大污染事故和环境违法行为，所有环保设施运行正常。</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3、公司严格按照 ISO14001 环境管理体系要求开展生产经营活动，利用宣传橱窗、车间宣传栏、标识、宣传标语等方式，大力开展节能宣传，引导全公司每一个员工都自觉地提高节约能源意识，杜绝浪费、提高效益的观念已经融入到企业文化中。对危险废物，公司委托有资质的单位进行处置，有效控制了废弃物对环境造成的影响。公司自成立以来未发生环境污染事故和周边群众投诉上访的案件。</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4、公司以能源、资源的高效利用和循环利用为核心，以“减量化、再利用、资源化”为原则，以低消耗、低排放、高效率为目标，采取积极有效的节耗降本措施，在增产中降成本，在创新中降消耗，如积极推行改进生产工艺和定耗生产，不断提高机械设备利用率和降低电能消耗。经过上下的共同努力，节能降耗达到公司制定的目标要求。</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5、公司加大投入力度，实施新工艺，新技术，既有利于提高产品质量，从环境保护的角度出发，我公司采用废气处理设施进行处理，使废气达标排放。引进国内先进的生产设备，确保产品品质满足国内外客户要求，在确保产品品质大幅提高的同时，更加注重员工的生产环境和劳动强度，提高生产效率来实现节能降耗。</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0" w:firstLineChars="0"/>
        <w:jc w:val="center"/>
        <w:textAlignment w:val="auto"/>
        <w:rPr>
          <w:rFonts w:hint="eastAsia" w:ascii="仿宋" w:hAnsi="仿宋" w:eastAsia="仿宋" w:cs="仿宋"/>
          <w:b/>
          <w:bCs/>
          <w:sz w:val="30"/>
          <w:szCs w:val="30"/>
        </w:rPr>
      </w:pPr>
      <w:r>
        <w:rPr>
          <w:rFonts w:hint="eastAsia" w:ascii="仿宋" w:hAnsi="仿宋" w:eastAsia="仿宋" w:cs="仿宋"/>
          <w:b/>
          <w:bCs/>
          <w:i w:val="0"/>
          <w:color w:val="000000"/>
          <w:sz w:val="30"/>
          <w:szCs w:val="30"/>
        </w:rPr>
        <w:t>第四章 公共关系和社会公益事业</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企业发展源于社会，回报社会是企业应尽的责任。</w:t>
      </w:r>
      <w:r>
        <w:rPr>
          <w:rFonts w:hint="eastAsia" w:ascii="仿宋" w:hAnsi="仿宋" w:eastAsia="仿宋" w:cs="仿宋"/>
          <w:b w:val="0"/>
          <w:i w:val="0"/>
          <w:color w:val="000000"/>
          <w:sz w:val="24"/>
          <w:szCs w:val="24"/>
          <w:lang w:eastAsia="zh-CN"/>
        </w:rPr>
        <w:t>嘉兴奥津佳特种纺织品有限公司</w:t>
      </w:r>
      <w:r>
        <w:rPr>
          <w:rFonts w:hint="eastAsia" w:ascii="仿宋" w:hAnsi="仿宋" w:eastAsia="仿宋" w:cs="仿宋"/>
          <w:b w:val="0"/>
          <w:i w:val="0"/>
          <w:color w:val="000000"/>
          <w:sz w:val="24"/>
          <w:szCs w:val="24"/>
        </w:rPr>
        <w:t>注重企业的社会价值体现，把为社会创造繁荣作为所应承担社会责任的一种承诺，以自身发展影响和带动地方经济振兴。</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1、公司与社会各界保持密切合作，积极承担社会责任，参与扶贫开发、资助下岗职工再就业等社会公益事业，开展和谐社区建设等社区服务及活动。</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2、公司除了积极参与社会公益事业外，还鼓励全体员工主动回馈社会，参与各种形式的捐资、义工、便民活动，以支持各项慈善事业。同时，公司多次组织员工进行无偿献血活动，支持社会和谐发展。</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3、积极、主动加强与政府主管部门、行业协会、监管机关的沟通与联系，对相关部门根据法律、法规要求提出的监督和检查，都予以积极配合、协助，尽到自身的责任与义务。</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4、公司积极支持社会公益事业，确定重点支持的公益领域并积极参与，高层领导及员工为此作出了贡献。公司在努力开拓市场，谋求实现企业战略目标的同时，也重视履行自己的社会责任，热心为社会公益事业服务。公司积极参与“送温暖献爱心”、结对帮困、扶贫开发、资助下岗职工再就业、慰问敬老院等社会公益事业，开展“学雷锋便民活动”、和谐社区建设等社区服务及活动，通过政府部门、行业组织，积极向社会、社区捐款。</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0" w:firstLineChars="0"/>
        <w:jc w:val="center"/>
        <w:textAlignment w:val="auto"/>
        <w:rPr>
          <w:rFonts w:hint="eastAsia" w:ascii="仿宋" w:hAnsi="仿宋" w:eastAsia="仿宋" w:cs="仿宋"/>
          <w:b/>
          <w:bCs/>
          <w:sz w:val="30"/>
          <w:szCs w:val="30"/>
        </w:rPr>
      </w:pPr>
      <w:r>
        <w:rPr>
          <w:rFonts w:hint="eastAsia" w:ascii="仿宋" w:hAnsi="仿宋" w:eastAsia="仿宋" w:cs="仿宋"/>
          <w:b/>
          <w:bCs/>
          <w:i w:val="0"/>
          <w:color w:val="000000"/>
          <w:sz w:val="30"/>
          <w:szCs w:val="30"/>
        </w:rPr>
        <w:t>第五章 社会责任履行状况存在问题及整改计划</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202</w:t>
      </w:r>
      <w:r>
        <w:rPr>
          <w:rFonts w:hint="eastAsia" w:ascii="仿宋" w:hAnsi="仿宋" w:eastAsia="仿宋" w:cs="仿宋"/>
          <w:b w:val="0"/>
          <w:i w:val="0"/>
          <w:color w:val="000000"/>
          <w:sz w:val="24"/>
          <w:szCs w:val="24"/>
          <w:lang w:val="en-US" w:eastAsia="zh-CN"/>
        </w:rPr>
        <w:t>4</w:t>
      </w:r>
      <w:r>
        <w:rPr>
          <w:rFonts w:hint="eastAsia" w:ascii="仿宋" w:hAnsi="仿宋" w:eastAsia="仿宋" w:cs="仿宋"/>
          <w:b w:val="0"/>
          <w:i w:val="0"/>
          <w:color w:val="000000"/>
          <w:sz w:val="24"/>
          <w:szCs w:val="24"/>
        </w:rPr>
        <w:t>年，尽管公司在环保、公益事业、职工保护等诸多承担社会责任方面取得一定成绩，但社会责任履行状况仍存有部分不足，主要体现在对员工教育、社区建设等社会公益事业方面的支持仍有进一步增加的空间。为此，公司将在今后的经营管理中，积极履行社会责任，创建和谐企业； 在力所能及的范围内，增加社会公益的投入，积极参加与国内外对口支援当地的教育、文化、社区建设、扶贫帮困等社会公益活动，促进公司和区域经济的和谐发展，为和谐社会建设作出应有的贡献。</w:t>
      </w:r>
    </w:p>
    <w:sectPr>
      <w:pgSz w:w="11860" w:h="1680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cumentProtection w:enforcement="0"/>
  <w:noPunctuationKerning w:val="1"/>
  <w:compat>
    <w:ulTrailSpace/>
    <w:useFELayout/>
    <w:compatSetting w:name="compatibilityMode" w:uri="http://schemas.microsoft.com/office/word" w:val="15"/>
  </w:compat>
  <w:docVars>
    <w:docVar w:name="commondata" w:val="eyJoZGlkIjoiOTZhZTBkZGIyNTU1NzE2YWE5ZmVhYmUyOTUzNGE3NjEifQ=="/>
  </w:docVars>
  <w:rsids>
    <w:rsidRoot w:val="00000000"/>
    <w:rsid w:val="11C7359A"/>
    <w:rsid w:val="1CC70A87"/>
    <w:rsid w:val="23EC5253"/>
    <w:rsid w:val="38221B1B"/>
    <w:rsid w:val="39D83A3B"/>
    <w:rsid w:val="3ECB7835"/>
    <w:rsid w:val="52034F54"/>
    <w:rsid w:val="5B2D47AE"/>
    <w:rsid w:val="5FF03B0D"/>
    <w:rsid w:val="619A1F3B"/>
    <w:rsid w:val="68F2322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9</Pages>
  <Words>5623</Words>
  <Characters>5725</Characters>
  <TotalTime>2</TotalTime>
  <ScaleCrop>false</ScaleCrop>
  <LinksUpToDate>false</LinksUpToDate>
  <CharactersWithSpaces>5751</CharactersWithSpaces>
  <Application>WPS Office_11.1.0.9843_F1E327BC-269C-435d-A152-05C5408002CA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2024-12-05T06:31:00Z</dcterms:created>
  <dc:creator>Apache POI</dc:creator>
  <cp:lastModifiedBy>逢坂大河</cp:lastModifiedBy>
  <dcterms:modified xsi:type="dcterms:W3CDTF">2025-10-12T07:10:20Z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2052-11.1.0.9843</vt:lpwstr>
  </property>
  <property fmtid="{D5CDD505-2E9C-101B-9397-08002B2CF9AE}" pid="3" name="ICV">
    <vt:lpwstr>FA0E7965FB5F4FE6BE06D1CC8F053C71_12</vt:lpwstr>
  </property>
  <property fmtid="{D5CDD505-2E9C-101B-9397-08002B2CF9AE}" pid="4" name="KSOTemplateDocerSaveRecord">
    <vt:lpwstr>eyJoZGlkIjoiOTZhZTBkZGIyNTU1NzE2YWE5ZmVhYmUyOTUzNGE3NjEiLCJ1c2VySWQiOiIyNTQ2MzQ5MDAifQ==</vt:lpwstr>
  </property>
</Properties>
</file>